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27D5B" w14:textId="0A26268A" w:rsidR="00637AE4" w:rsidRDefault="00637AE4" w:rsidP="00D370BE">
      <w:pPr>
        <w:rPr>
          <w:rFonts w:ascii="Times New Roman" w:hAnsi="Times New Roman" w:cs="Times New Roman"/>
          <w:noProof/>
          <w:lang w:eastAsia="hr-HR"/>
        </w:rPr>
      </w:pPr>
      <w:bookmarkStart w:id="0" w:name="_Hlk193286000"/>
      <w:bookmarkEnd w:id="0"/>
    </w:p>
    <w:p w14:paraId="64452104" w14:textId="77777777" w:rsidR="0018242F" w:rsidRDefault="0018242F" w:rsidP="0079286B">
      <w:pPr>
        <w:jc w:val="center"/>
        <w:rPr>
          <w:rFonts w:ascii="Times New Roman" w:hAnsi="Times New Roman" w:cs="Times New Roman"/>
          <w:noProof/>
          <w:lang w:eastAsia="hr-HR"/>
        </w:rPr>
      </w:pPr>
    </w:p>
    <w:p w14:paraId="2EF2CD6D" w14:textId="7C2A2088" w:rsidR="0018242F" w:rsidRDefault="0018242F" w:rsidP="0079286B">
      <w:pPr>
        <w:jc w:val="center"/>
        <w:rPr>
          <w:rFonts w:ascii="Times New Roman" w:hAnsi="Times New Roman" w:cs="Times New Roman"/>
          <w:noProof/>
          <w:lang w:eastAsia="hr-HR"/>
        </w:rPr>
      </w:pPr>
    </w:p>
    <w:p w14:paraId="5B293CCC" w14:textId="3F6F5BC7" w:rsidR="0018242F" w:rsidRDefault="0018242F" w:rsidP="0079286B">
      <w:pPr>
        <w:jc w:val="center"/>
        <w:rPr>
          <w:rFonts w:ascii="Times New Roman" w:hAnsi="Times New Roman" w:cs="Times New Roman"/>
          <w:noProof/>
          <w:lang w:eastAsia="hr-HR"/>
        </w:rPr>
      </w:pPr>
    </w:p>
    <w:p w14:paraId="36A47E82" w14:textId="2472B733" w:rsidR="0018242F" w:rsidRPr="002F5960" w:rsidRDefault="0018242F" w:rsidP="0079286B">
      <w:pPr>
        <w:jc w:val="center"/>
        <w:rPr>
          <w:rFonts w:ascii="Times New Roman" w:hAnsi="Times New Roman" w:cs="Times New Roman"/>
        </w:rPr>
      </w:pPr>
    </w:p>
    <w:p w14:paraId="1C2285E2" w14:textId="755FD5A3" w:rsidR="00ED2B25" w:rsidRDefault="00ED2B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690CEE4" w14:textId="04BBDBEC" w:rsidR="00ED2B25" w:rsidRDefault="00ED2B25">
      <w:pPr>
        <w:rPr>
          <w:rFonts w:ascii="Times New Roman" w:hAnsi="Times New Roman" w:cs="Times New Roman"/>
        </w:rPr>
      </w:pPr>
    </w:p>
    <w:p w14:paraId="46C08E8F" w14:textId="1D9823AA" w:rsidR="00ED2B25" w:rsidRDefault="00ED2B25">
      <w:pPr>
        <w:rPr>
          <w:rFonts w:ascii="Times New Roman" w:hAnsi="Times New Roman" w:cs="Times New Roman"/>
        </w:rPr>
      </w:pPr>
    </w:p>
    <w:p w14:paraId="3664D217" w14:textId="5E3A9659" w:rsidR="00ED2B25" w:rsidRDefault="00ED2B25">
      <w:pPr>
        <w:rPr>
          <w:rFonts w:ascii="Times New Roman" w:hAnsi="Times New Roman" w:cs="Times New Roman"/>
        </w:rPr>
      </w:pPr>
    </w:p>
    <w:p w14:paraId="1DC8142D" w14:textId="62B3A01A" w:rsidR="00ED2B25" w:rsidRPr="00ED2B25" w:rsidRDefault="00ED2B25" w:rsidP="00ED2B2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D2B25">
        <w:rPr>
          <w:rFonts w:ascii="Times New Roman" w:hAnsi="Times New Roman" w:cs="Times New Roman"/>
          <w:b/>
          <w:bCs/>
          <w:sz w:val="36"/>
          <w:szCs w:val="36"/>
        </w:rPr>
        <w:t>GODIŠNJI IZVJEŠTAJ</w:t>
      </w:r>
      <w:r w:rsidR="000F649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ED2B25">
        <w:rPr>
          <w:rFonts w:ascii="Times New Roman" w:hAnsi="Times New Roman" w:cs="Times New Roman"/>
          <w:b/>
          <w:bCs/>
          <w:sz w:val="36"/>
          <w:szCs w:val="36"/>
        </w:rPr>
        <w:t>O IZVRŠENJU</w:t>
      </w:r>
    </w:p>
    <w:p w14:paraId="51CE05F3" w14:textId="77777777" w:rsidR="00ED2B25" w:rsidRPr="00ED2B25" w:rsidRDefault="00ED2B25" w:rsidP="00ED2B2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D2B25">
        <w:rPr>
          <w:rFonts w:ascii="Times New Roman" w:hAnsi="Times New Roman" w:cs="Times New Roman"/>
          <w:b/>
          <w:bCs/>
          <w:sz w:val="36"/>
          <w:szCs w:val="36"/>
        </w:rPr>
        <w:t>FINANCIJSKOG PLANA</w:t>
      </w:r>
    </w:p>
    <w:p w14:paraId="2C3EDE3C" w14:textId="6732178D" w:rsidR="00637AE4" w:rsidRPr="002F5960" w:rsidRDefault="00ED2B25" w:rsidP="00ED2B25">
      <w:pPr>
        <w:jc w:val="center"/>
        <w:rPr>
          <w:rFonts w:ascii="Times New Roman" w:hAnsi="Times New Roman" w:cs="Times New Roman"/>
        </w:rPr>
      </w:pPr>
      <w:r w:rsidRPr="00ED2B25">
        <w:rPr>
          <w:rFonts w:ascii="Times New Roman" w:hAnsi="Times New Roman" w:cs="Times New Roman"/>
          <w:b/>
          <w:bCs/>
          <w:sz w:val="36"/>
          <w:szCs w:val="36"/>
        </w:rPr>
        <w:t>ZA 202</w:t>
      </w:r>
      <w:r w:rsidR="00BB219A">
        <w:rPr>
          <w:rFonts w:ascii="Times New Roman" w:hAnsi="Times New Roman" w:cs="Times New Roman"/>
          <w:b/>
          <w:bCs/>
          <w:sz w:val="36"/>
          <w:szCs w:val="36"/>
        </w:rPr>
        <w:t>5</w:t>
      </w:r>
      <w:r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Pr="00ED2B25">
        <w:rPr>
          <w:rFonts w:ascii="Times New Roman" w:hAnsi="Times New Roman" w:cs="Times New Roman"/>
          <w:b/>
          <w:bCs/>
          <w:sz w:val="36"/>
          <w:szCs w:val="36"/>
        </w:rPr>
        <w:t xml:space="preserve"> GODINU</w:t>
      </w:r>
      <w:r w:rsidR="000C7BE3">
        <w:rPr>
          <w:rFonts w:ascii="Times New Roman" w:hAnsi="Times New Roman" w:cs="Times New Roman"/>
        </w:rPr>
        <w:br w:type="textWrapping" w:clear="all"/>
      </w:r>
    </w:p>
    <w:p w14:paraId="7771DCB5" w14:textId="77777777" w:rsidR="00637AE4" w:rsidRPr="002F5960" w:rsidRDefault="00637AE4">
      <w:pPr>
        <w:rPr>
          <w:rFonts w:ascii="Times New Roman" w:hAnsi="Times New Roman" w:cs="Times New Roman"/>
        </w:rPr>
      </w:pPr>
    </w:p>
    <w:p w14:paraId="496C1915" w14:textId="77777777" w:rsidR="00ED2B25" w:rsidRPr="002F5960" w:rsidRDefault="00ED2B25">
      <w:pPr>
        <w:rPr>
          <w:rFonts w:ascii="Times New Roman" w:hAnsi="Times New Roman" w:cs="Times New Roman"/>
        </w:rPr>
      </w:pPr>
    </w:p>
    <w:p w14:paraId="1E13661E" w14:textId="77777777" w:rsidR="00E30950" w:rsidRDefault="00E30950" w:rsidP="00637AE4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6BF71F6D" w14:textId="77777777" w:rsidR="000F6491" w:rsidRDefault="000F6491" w:rsidP="00637AE4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252E1B50" w14:textId="77777777" w:rsidR="000F6491" w:rsidRDefault="000F6491" w:rsidP="00637AE4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7D6A1928" w14:textId="77777777" w:rsidR="000F6491" w:rsidRDefault="000F6491" w:rsidP="00637AE4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37C7D68F" w14:textId="77777777" w:rsidR="000F6491" w:rsidRDefault="000F6491" w:rsidP="00637AE4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0CD9FEE0" w14:textId="77777777" w:rsidR="000F6491" w:rsidRDefault="000F6491" w:rsidP="00637AE4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50DD375E" w14:textId="77777777" w:rsidR="000F6491" w:rsidRPr="002F5960" w:rsidRDefault="000F6491" w:rsidP="00753E37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7426AE5F" w14:textId="77777777" w:rsidR="00637AE4" w:rsidRPr="002F5960" w:rsidRDefault="00637AE4" w:rsidP="00637A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81F35C" w14:textId="781F2E8C" w:rsidR="00637AE4" w:rsidRPr="00753E37" w:rsidRDefault="00637AE4" w:rsidP="00753E37">
      <w:pPr>
        <w:rPr>
          <w:rFonts w:ascii="Times New Roman" w:hAnsi="Times New Roman" w:cs="Times New Roman"/>
          <w:sz w:val="24"/>
          <w:szCs w:val="24"/>
        </w:rPr>
      </w:pPr>
      <w:r w:rsidRPr="00753E37">
        <w:rPr>
          <w:rFonts w:ascii="Times New Roman" w:hAnsi="Times New Roman" w:cs="Times New Roman"/>
          <w:sz w:val="24"/>
          <w:szCs w:val="24"/>
        </w:rPr>
        <w:t xml:space="preserve">Karlovac, </w:t>
      </w:r>
      <w:r w:rsidR="009E3AF0" w:rsidRPr="00753E37">
        <w:rPr>
          <w:rFonts w:ascii="Times New Roman" w:hAnsi="Times New Roman" w:cs="Times New Roman"/>
          <w:sz w:val="24"/>
          <w:szCs w:val="24"/>
        </w:rPr>
        <w:t>1</w:t>
      </w:r>
      <w:r w:rsidR="00AD6DB6">
        <w:rPr>
          <w:rFonts w:ascii="Times New Roman" w:hAnsi="Times New Roman" w:cs="Times New Roman"/>
          <w:sz w:val="24"/>
          <w:szCs w:val="24"/>
        </w:rPr>
        <w:t>6</w:t>
      </w:r>
      <w:r w:rsidRPr="00753E37">
        <w:rPr>
          <w:rFonts w:ascii="Times New Roman" w:hAnsi="Times New Roman" w:cs="Times New Roman"/>
          <w:sz w:val="24"/>
          <w:szCs w:val="24"/>
        </w:rPr>
        <w:t>.</w:t>
      </w:r>
      <w:r w:rsidR="007C215A" w:rsidRPr="00753E37">
        <w:rPr>
          <w:rFonts w:ascii="Times New Roman" w:hAnsi="Times New Roman" w:cs="Times New Roman"/>
          <w:sz w:val="24"/>
          <w:szCs w:val="24"/>
        </w:rPr>
        <w:t xml:space="preserve"> </w:t>
      </w:r>
      <w:r w:rsidRPr="00753E37">
        <w:rPr>
          <w:rFonts w:ascii="Times New Roman" w:hAnsi="Times New Roman" w:cs="Times New Roman"/>
          <w:sz w:val="24"/>
          <w:szCs w:val="24"/>
        </w:rPr>
        <w:t>ožujak 202</w:t>
      </w:r>
      <w:r w:rsidR="00BB219A" w:rsidRPr="00753E37">
        <w:rPr>
          <w:rFonts w:ascii="Times New Roman" w:hAnsi="Times New Roman" w:cs="Times New Roman"/>
          <w:sz w:val="24"/>
          <w:szCs w:val="24"/>
        </w:rPr>
        <w:t>6</w:t>
      </w:r>
      <w:r w:rsidRPr="00753E37">
        <w:rPr>
          <w:rFonts w:ascii="Times New Roman" w:hAnsi="Times New Roman" w:cs="Times New Roman"/>
          <w:sz w:val="24"/>
          <w:szCs w:val="24"/>
        </w:rPr>
        <w:t>.</w:t>
      </w:r>
    </w:p>
    <w:p w14:paraId="006A10D2" w14:textId="77777777" w:rsidR="0079286B" w:rsidRPr="002F5960" w:rsidRDefault="0079286B" w:rsidP="00637A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766F8F" w14:textId="77777777" w:rsidR="009B4A47" w:rsidRDefault="009B4A47" w:rsidP="000C7BE3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</w:p>
    <w:p w14:paraId="23205066" w14:textId="0EA1EC09" w:rsidR="007D43AE" w:rsidRPr="00B450DB" w:rsidRDefault="007D43AE" w:rsidP="00B450DB">
      <w:pPr>
        <w:pStyle w:val="ListParagraph"/>
        <w:numPr>
          <w:ilvl w:val="0"/>
          <w:numId w:val="14"/>
        </w:num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B450DB">
        <w:rPr>
          <w:rFonts w:ascii="Times New Roman" w:hAnsi="Times New Roman" w:cs="Times New Roman"/>
          <w:b/>
          <w:bCs/>
        </w:rPr>
        <w:t xml:space="preserve"> UVOD</w:t>
      </w:r>
    </w:p>
    <w:p w14:paraId="49FD48CF" w14:textId="65CECB60" w:rsidR="00E06F55" w:rsidRPr="00E30950" w:rsidRDefault="00E06F55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E30950">
        <w:rPr>
          <w:rFonts w:ascii="Times New Roman" w:hAnsi="Times New Roman" w:cs="Times New Roman"/>
        </w:rPr>
        <w:t>Naziv obveznika: Kino Edison, multimedijski centar za kulturno-turističke sadržaje</w:t>
      </w:r>
    </w:p>
    <w:p w14:paraId="1011A311" w14:textId="1016D30C" w:rsidR="00E06F55" w:rsidRPr="00E30950" w:rsidRDefault="00E06F55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E30950">
        <w:rPr>
          <w:rFonts w:ascii="Times New Roman" w:hAnsi="Times New Roman" w:cs="Times New Roman"/>
        </w:rPr>
        <w:t>Sjedište: Šetalište dr. Franje Tuđmana 13, Karlovac</w:t>
      </w:r>
    </w:p>
    <w:p w14:paraId="7FCF9379" w14:textId="51A203F0" w:rsidR="00E06F55" w:rsidRPr="00E30950" w:rsidRDefault="00E06F55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E30950">
        <w:rPr>
          <w:rFonts w:ascii="Times New Roman" w:hAnsi="Times New Roman" w:cs="Times New Roman"/>
        </w:rPr>
        <w:t>Razina:</w:t>
      </w:r>
      <w:r w:rsidR="000F6491">
        <w:rPr>
          <w:rFonts w:ascii="Times New Roman" w:hAnsi="Times New Roman" w:cs="Times New Roman"/>
        </w:rPr>
        <w:t xml:space="preserve"> </w:t>
      </w:r>
      <w:r w:rsidRPr="00E30950">
        <w:rPr>
          <w:rFonts w:ascii="Times New Roman" w:hAnsi="Times New Roman" w:cs="Times New Roman"/>
        </w:rPr>
        <w:t>21</w:t>
      </w:r>
    </w:p>
    <w:p w14:paraId="25E81D7F" w14:textId="115E2811" w:rsidR="00E06F55" w:rsidRPr="00E30950" w:rsidRDefault="00E06F55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E30950">
        <w:rPr>
          <w:rFonts w:ascii="Times New Roman" w:hAnsi="Times New Roman" w:cs="Times New Roman"/>
        </w:rPr>
        <w:t>RKP broj: 53863</w:t>
      </w:r>
    </w:p>
    <w:p w14:paraId="32FA9245" w14:textId="0E9A3BB1" w:rsidR="00E06F55" w:rsidRPr="00E30950" w:rsidRDefault="00E06F55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E30950">
        <w:rPr>
          <w:rFonts w:ascii="Times New Roman" w:hAnsi="Times New Roman" w:cs="Times New Roman"/>
        </w:rPr>
        <w:t>OIB: 32690698734</w:t>
      </w:r>
    </w:p>
    <w:p w14:paraId="25902012" w14:textId="4748DFE8" w:rsidR="00E06F55" w:rsidRPr="00E30950" w:rsidRDefault="00E06F55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E30950">
        <w:rPr>
          <w:rFonts w:ascii="Times New Roman" w:hAnsi="Times New Roman" w:cs="Times New Roman"/>
        </w:rPr>
        <w:t>Šifra djelatnosti: 59.14</w:t>
      </w:r>
    </w:p>
    <w:p w14:paraId="312225A7" w14:textId="2240DD62" w:rsidR="00E06F55" w:rsidRPr="00E30950" w:rsidRDefault="00E06F55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E30950">
        <w:rPr>
          <w:rFonts w:ascii="Times New Roman" w:hAnsi="Times New Roman" w:cs="Times New Roman"/>
        </w:rPr>
        <w:t>Razdjel:0</w:t>
      </w:r>
    </w:p>
    <w:p w14:paraId="345A586F" w14:textId="62EE8B4D" w:rsidR="00E06F55" w:rsidRPr="00E30950" w:rsidRDefault="00E06F55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E30950">
        <w:rPr>
          <w:rFonts w:ascii="Times New Roman" w:hAnsi="Times New Roman" w:cs="Times New Roman"/>
        </w:rPr>
        <w:t>Šifra županije:4</w:t>
      </w:r>
    </w:p>
    <w:p w14:paraId="139AF518" w14:textId="25A041D1" w:rsidR="00E06F55" w:rsidRPr="00E30950" w:rsidRDefault="00E06F55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E30950">
        <w:rPr>
          <w:rFonts w:ascii="Times New Roman" w:hAnsi="Times New Roman" w:cs="Times New Roman"/>
        </w:rPr>
        <w:t>Šifra grada:179</w:t>
      </w:r>
    </w:p>
    <w:p w14:paraId="5A7609FA" w14:textId="77777777" w:rsidR="009B4A47" w:rsidRDefault="009B4A47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05D8D99B" w14:textId="13A2752D" w:rsidR="007D43AE" w:rsidRPr="00E30950" w:rsidRDefault="007D43AE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E30950">
        <w:rPr>
          <w:rFonts w:ascii="Times New Roman" w:hAnsi="Times New Roman" w:cs="Times New Roman"/>
        </w:rPr>
        <w:t>Kino Edison, multimedijski centar za kulturno-turističke sadržaje</w:t>
      </w:r>
      <w:r w:rsidR="00225173">
        <w:rPr>
          <w:rFonts w:ascii="Times New Roman" w:hAnsi="Times New Roman" w:cs="Times New Roman"/>
        </w:rPr>
        <w:t xml:space="preserve"> je</w:t>
      </w:r>
      <w:r w:rsidRPr="00E30950">
        <w:rPr>
          <w:rFonts w:ascii="Times New Roman" w:hAnsi="Times New Roman" w:cs="Times New Roman"/>
        </w:rPr>
        <w:t xml:space="preserve"> ustanova</w:t>
      </w:r>
      <w:r w:rsidR="00E06F55" w:rsidRPr="00E30950">
        <w:rPr>
          <w:rFonts w:ascii="Times New Roman" w:hAnsi="Times New Roman" w:cs="Times New Roman"/>
        </w:rPr>
        <w:t xml:space="preserve"> </w:t>
      </w:r>
      <w:r w:rsidRPr="00E30950">
        <w:rPr>
          <w:rFonts w:ascii="Times New Roman" w:hAnsi="Times New Roman" w:cs="Times New Roman"/>
        </w:rPr>
        <w:t>u kulturi</w:t>
      </w:r>
      <w:r w:rsidR="00225173">
        <w:rPr>
          <w:rFonts w:ascii="Times New Roman" w:hAnsi="Times New Roman" w:cs="Times New Roman"/>
        </w:rPr>
        <w:t>,  a osnivač Ustanove je Grad Karlovac.  Odluka o osnivanju Ustanove donesena je 22. listopada 2022. godine na sjednici Gradskog vijeće Grada Karlovca.</w:t>
      </w:r>
    </w:p>
    <w:p w14:paraId="6B20CB40" w14:textId="4D1965BB" w:rsidR="007D43AE" w:rsidRPr="005D06BF" w:rsidRDefault="007D43AE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E30950">
        <w:rPr>
          <w:rFonts w:ascii="Times New Roman" w:hAnsi="Times New Roman" w:cs="Times New Roman"/>
        </w:rPr>
        <w:t xml:space="preserve">Ustanova je samostalna u obavljanju svoje djelatnosti, sukladno </w:t>
      </w:r>
      <w:r w:rsidR="008F6C6A" w:rsidRPr="00E30950">
        <w:rPr>
          <w:rFonts w:ascii="Times New Roman" w:hAnsi="Times New Roman" w:cs="Times New Roman"/>
        </w:rPr>
        <w:t>Z</w:t>
      </w:r>
      <w:r w:rsidRPr="00E30950">
        <w:rPr>
          <w:rFonts w:ascii="Times New Roman" w:hAnsi="Times New Roman" w:cs="Times New Roman"/>
        </w:rPr>
        <w:t xml:space="preserve">akonu, Odluci o osnivanju, Statutu, te </w:t>
      </w:r>
      <w:r w:rsidRPr="005D06BF">
        <w:rPr>
          <w:rFonts w:ascii="Times New Roman" w:hAnsi="Times New Roman" w:cs="Times New Roman"/>
        </w:rPr>
        <w:t>drugim općim aktima Ustanove.</w:t>
      </w:r>
    </w:p>
    <w:p w14:paraId="4966A834" w14:textId="77777777" w:rsidR="00225173" w:rsidRPr="005D06BF" w:rsidRDefault="007D43AE" w:rsidP="00442F1D">
      <w:pPr>
        <w:spacing w:line="276" w:lineRule="auto"/>
        <w:rPr>
          <w:rFonts w:ascii="Times New Roman" w:hAnsi="Times New Roman" w:cs="Times New Roman"/>
        </w:rPr>
      </w:pPr>
      <w:r w:rsidRPr="005D06BF">
        <w:rPr>
          <w:rFonts w:ascii="Times New Roman" w:hAnsi="Times New Roman" w:cs="Times New Roman"/>
        </w:rPr>
        <w:t>Glavna djelatnost Ustanove je audiovizualna djelatnost, te  provođenje, afirmiranje i poticanje kulturno - umjetničkog stvaralaštva i drugih aktivnosti od interesa za Grad Karlovac u svrhu kulturnog, turističkog i gospodarskog razvoja Grada Karlovca.</w:t>
      </w:r>
      <w:r w:rsidR="00225173" w:rsidRPr="005D06BF">
        <w:rPr>
          <w:rFonts w:ascii="Times New Roman" w:hAnsi="Times New Roman" w:cs="Times New Roman"/>
        </w:rPr>
        <w:t xml:space="preserve"> </w:t>
      </w:r>
    </w:p>
    <w:p w14:paraId="4D755561" w14:textId="2FDFF7D6" w:rsidR="00225173" w:rsidRPr="005D06BF" w:rsidRDefault="00225173" w:rsidP="00442F1D">
      <w:pPr>
        <w:spacing w:line="276" w:lineRule="auto"/>
        <w:jc w:val="both"/>
        <w:rPr>
          <w:rFonts w:ascii="Times New Roman" w:hAnsi="Times New Roman" w:cs="Times New Roman"/>
        </w:rPr>
      </w:pPr>
      <w:r w:rsidRPr="005D06BF">
        <w:rPr>
          <w:rFonts w:ascii="Times New Roman" w:hAnsi="Times New Roman" w:cs="Times New Roman"/>
        </w:rPr>
        <w:t>Programski sadržaj uključuje filmski program te organiziranje raznih događaja koji nisu vezani isključivo uz filmski program. Kino Edison je mjesto susreta, učenja i zabave s naglaskom na razvoju kongresnog turizma, obrazovnih sadržaja i festivala</w:t>
      </w:r>
      <w:r w:rsidR="005D06BF" w:rsidRPr="005D06BF">
        <w:rPr>
          <w:rFonts w:ascii="Times New Roman" w:hAnsi="Times New Roman" w:cs="Times New Roman"/>
        </w:rPr>
        <w:t>.</w:t>
      </w:r>
    </w:p>
    <w:p w14:paraId="10679F6A" w14:textId="33F0E52E" w:rsidR="007D43AE" w:rsidRPr="005D06BF" w:rsidRDefault="007D43AE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5D06BF">
        <w:rPr>
          <w:rFonts w:ascii="Times New Roman" w:hAnsi="Times New Roman" w:cs="Times New Roman"/>
        </w:rPr>
        <w:t>Kino Edison obnovljeno je i opremljeno provedbom projekata „ITU – Obnova brownfield lokacije nekadašnjeg kina Edison“, KK.06.2.2.18.0001 i „ITU – Revitalizacija nekadašnjeg kina Edison u funkciji pokretanja integriranih turističkih programa u gradu Karlovcu“, KK.061.1.17.0001. Oba projekta sufinancirana su iz Europskog fonda za regionalni razvoj.</w:t>
      </w:r>
    </w:p>
    <w:p w14:paraId="20691820" w14:textId="0832AD15" w:rsidR="000F6491" w:rsidRPr="00E30950" w:rsidRDefault="007D43AE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E30950">
        <w:rPr>
          <w:rFonts w:ascii="Times New Roman" w:hAnsi="Times New Roman" w:cs="Times New Roman"/>
        </w:rPr>
        <w:t xml:space="preserve">Obnovljeno i revitalizirano Kino Edison ponovo je otvoreno 9. rujna 2023. godine kao multimedijski centar koji spaja kulturnu baštinu, audiovizualnu i scensku umjetnost te modernu tehnologiju. </w:t>
      </w:r>
    </w:p>
    <w:p w14:paraId="3557AE62" w14:textId="4F69A235" w:rsidR="007D43AE" w:rsidRPr="00E30950" w:rsidRDefault="005D06BF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Ustanovom</w:t>
      </w:r>
      <w:r w:rsidR="007D43AE" w:rsidRPr="00E30950">
        <w:rPr>
          <w:rFonts w:ascii="Times New Roman" w:hAnsi="Times New Roman" w:cs="Times New Roman"/>
        </w:rPr>
        <w:t xml:space="preserve"> upravlja ravnatelj zajedno s Upravnim vijećem</w:t>
      </w:r>
      <w:r w:rsidR="000F6491">
        <w:rPr>
          <w:rFonts w:ascii="Times New Roman" w:hAnsi="Times New Roman" w:cs="Times New Roman"/>
        </w:rPr>
        <w:t xml:space="preserve">. Upravno vijeće se </w:t>
      </w:r>
      <w:r w:rsidR="007D43AE" w:rsidRPr="00E30950">
        <w:rPr>
          <w:rFonts w:ascii="Times New Roman" w:hAnsi="Times New Roman" w:cs="Times New Roman"/>
        </w:rPr>
        <w:t>sastoji od 3 člana</w:t>
      </w:r>
      <w:r>
        <w:rPr>
          <w:rFonts w:ascii="Times New Roman" w:hAnsi="Times New Roman" w:cs="Times New Roman"/>
        </w:rPr>
        <w:t>. Mandat ravnatelja i članova Upravnog vijeća traje četiri godine.</w:t>
      </w:r>
      <w:r w:rsidR="007D43AE" w:rsidRPr="00E30950">
        <w:rPr>
          <w:rFonts w:ascii="Times New Roman" w:hAnsi="Times New Roman" w:cs="Times New Roman"/>
        </w:rPr>
        <w:t xml:space="preserve"> </w:t>
      </w:r>
    </w:p>
    <w:p w14:paraId="10A5609A" w14:textId="77777777" w:rsidR="00442F1D" w:rsidRDefault="00442F1D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13BFE4FB" w14:textId="77777777" w:rsidR="00442F1D" w:rsidRDefault="00442F1D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410E2DBE" w14:textId="77777777" w:rsidR="00442F1D" w:rsidRDefault="00442F1D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431C55EF" w14:textId="72421FD4" w:rsidR="007D43AE" w:rsidRPr="00E30950" w:rsidRDefault="005D06BF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</w:t>
      </w:r>
      <w:r w:rsidR="00E06F55" w:rsidRPr="00E30950">
        <w:rPr>
          <w:rFonts w:ascii="Times New Roman" w:hAnsi="Times New Roman" w:cs="Times New Roman"/>
        </w:rPr>
        <w:t xml:space="preserve"> dan 31.12.202</w:t>
      </w:r>
      <w:r w:rsidR="00BB219A">
        <w:rPr>
          <w:rFonts w:ascii="Times New Roman" w:hAnsi="Times New Roman" w:cs="Times New Roman"/>
        </w:rPr>
        <w:t>5</w:t>
      </w:r>
      <w:r w:rsidR="00E06F55" w:rsidRPr="00E3095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godine u Ustanovi je bilo </w:t>
      </w:r>
      <w:r w:rsidR="00E06F55" w:rsidRPr="00E30950">
        <w:rPr>
          <w:rFonts w:ascii="Times New Roman" w:hAnsi="Times New Roman" w:cs="Times New Roman"/>
        </w:rPr>
        <w:t>1</w:t>
      </w:r>
      <w:r w:rsidR="00BB219A">
        <w:rPr>
          <w:rFonts w:ascii="Times New Roman" w:hAnsi="Times New Roman" w:cs="Times New Roman"/>
        </w:rPr>
        <w:t>1</w:t>
      </w:r>
      <w:r w:rsidR="007D43AE" w:rsidRPr="00E30950">
        <w:rPr>
          <w:rFonts w:ascii="Times New Roman" w:hAnsi="Times New Roman" w:cs="Times New Roman"/>
        </w:rPr>
        <w:t xml:space="preserve"> zaposlen</w:t>
      </w:r>
      <w:r w:rsidR="00056655" w:rsidRPr="00E30950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h</w:t>
      </w:r>
      <w:r w:rsidR="00056655" w:rsidRPr="00E30950">
        <w:rPr>
          <w:rFonts w:ascii="Times New Roman" w:hAnsi="Times New Roman" w:cs="Times New Roman"/>
        </w:rPr>
        <w:t xml:space="preserve"> </w:t>
      </w:r>
      <w:r w:rsidR="007D43AE" w:rsidRPr="00E30950">
        <w:rPr>
          <w:rFonts w:ascii="Times New Roman" w:hAnsi="Times New Roman" w:cs="Times New Roman"/>
        </w:rPr>
        <w:t xml:space="preserve">i to </w:t>
      </w:r>
      <w:r w:rsidR="00056655" w:rsidRPr="00E30950">
        <w:rPr>
          <w:rFonts w:ascii="Times New Roman" w:hAnsi="Times New Roman" w:cs="Times New Roman"/>
        </w:rPr>
        <w:t>4</w:t>
      </w:r>
      <w:r w:rsidR="007D43AE" w:rsidRPr="00E30950">
        <w:rPr>
          <w:rFonts w:ascii="Times New Roman" w:hAnsi="Times New Roman" w:cs="Times New Roman"/>
        </w:rPr>
        <w:t xml:space="preserve"> muškarca i </w:t>
      </w:r>
      <w:r w:rsidR="00753E37">
        <w:rPr>
          <w:rFonts w:ascii="Times New Roman" w:hAnsi="Times New Roman" w:cs="Times New Roman"/>
        </w:rPr>
        <w:t>7</w:t>
      </w:r>
      <w:r w:rsidR="007D43AE" w:rsidRPr="00E30950">
        <w:rPr>
          <w:rFonts w:ascii="Times New Roman" w:hAnsi="Times New Roman" w:cs="Times New Roman"/>
        </w:rPr>
        <w:t xml:space="preserve"> žena.</w:t>
      </w:r>
      <w:r>
        <w:rPr>
          <w:rFonts w:ascii="Times New Roman" w:hAnsi="Times New Roman" w:cs="Times New Roman"/>
        </w:rPr>
        <w:t xml:space="preserve"> </w:t>
      </w:r>
      <w:r w:rsidR="007D43AE" w:rsidRPr="00E30950">
        <w:rPr>
          <w:rFonts w:ascii="Times New Roman" w:hAnsi="Times New Roman" w:cs="Times New Roman"/>
        </w:rPr>
        <w:t>Pravilnik</w:t>
      </w:r>
      <w:r w:rsidR="00056655" w:rsidRPr="00E30950">
        <w:rPr>
          <w:rFonts w:ascii="Times New Roman" w:hAnsi="Times New Roman" w:cs="Times New Roman"/>
        </w:rPr>
        <w:t>om</w:t>
      </w:r>
      <w:r w:rsidR="007D43AE" w:rsidRPr="00E30950">
        <w:rPr>
          <w:rFonts w:ascii="Times New Roman" w:hAnsi="Times New Roman" w:cs="Times New Roman"/>
        </w:rPr>
        <w:t xml:space="preserve"> o unutarnjem ustrojstvu utvrđen</w:t>
      </w:r>
      <w:r w:rsidR="00056655" w:rsidRPr="00E30950">
        <w:rPr>
          <w:rFonts w:ascii="Times New Roman" w:hAnsi="Times New Roman" w:cs="Times New Roman"/>
        </w:rPr>
        <w:t xml:space="preserve"> je</w:t>
      </w:r>
      <w:r w:rsidR="007D43AE" w:rsidRPr="00E30950">
        <w:rPr>
          <w:rFonts w:ascii="Times New Roman" w:hAnsi="Times New Roman" w:cs="Times New Roman"/>
        </w:rPr>
        <w:t xml:space="preserve"> unutarnji ustroj, sistematizacija poslova i radnih zadataka, uvjeti koje radnik mora zadovoljiti za obavljanje poslova, koeficijenti za svako radno mjesto te broj izvršitelja.</w:t>
      </w:r>
    </w:p>
    <w:p w14:paraId="521E02A8" w14:textId="77777777" w:rsidR="008979EC" w:rsidRPr="00E30950" w:rsidRDefault="008979EC" w:rsidP="00442F1D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03D837F6" w14:textId="25EF204F" w:rsidR="00637AE4" w:rsidRPr="00B450DB" w:rsidRDefault="0000042B" w:rsidP="00442F1D">
      <w:pPr>
        <w:pStyle w:val="ListParagraph"/>
        <w:numPr>
          <w:ilvl w:val="0"/>
          <w:numId w:val="14"/>
        </w:num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B450DB">
        <w:rPr>
          <w:rFonts w:ascii="Times New Roman" w:hAnsi="Times New Roman" w:cs="Times New Roman"/>
          <w:b/>
          <w:bCs/>
        </w:rPr>
        <w:t xml:space="preserve"> </w:t>
      </w:r>
      <w:r w:rsidR="007D43AE" w:rsidRPr="00B450DB">
        <w:rPr>
          <w:rFonts w:ascii="Times New Roman" w:hAnsi="Times New Roman" w:cs="Times New Roman"/>
          <w:b/>
          <w:bCs/>
        </w:rPr>
        <w:t xml:space="preserve">OBRAZLOŽENJE GODIŠNJEG IZVJEŠTAJA O IZVRŠENJU FINANCIJSKOG     PLANA </w:t>
      </w:r>
      <w:r w:rsidR="005D06BF" w:rsidRPr="00B450DB">
        <w:rPr>
          <w:rFonts w:ascii="Times New Roman" w:hAnsi="Times New Roman" w:cs="Times New Roman"/>
          <w:b/>
          <w:bCs/>
        </w:rPr>
        <w:t xml:space="preserve"> </w:t>
      </w:r>
      <w:r w:rsidR="007D43AE" w:rsidRPr="00B450DB">
        <w:rPr>
          <w:rFonts w:ascii="Times New Roman" w:hAnsi="Times New Roman" w:cs="Times New Roman"/>
          <w:b/>
          <w:bCs/>
        </w:rPr>
        <w:t>ZA RAZDOBLJE 01.01. - 31.12.202</w:t>
      </w:r>
      <w:r w:rsidR="00BB219A" w:rsidRPr="00B450DB">
        <w:rPr>
          <w:rFonts w:ascii="Times New Roman" w:hAnsi="Times New Roman" w:cs="Times New Roman"/>
          <w:b/>
          <w:bCs/>
        </w:rPr>
        <w:t>5</w:t>
      </w:r>
      <w:r w:rsidR="007D43AE" w:rsidRPr="00B450DB">
        <w:rPr>
          <w:rFonts w:ascii="Times New Roman" w:hAnsi="Times New Roman" w:cs="Times New Roman"/>
          <w:b/>
          <w:bCs/>
        </w:rPr>
        <w:t>.</w:t>
      </w:r>
    </w:p>
    <w:p w14:paraId="4408A4AF" w14:textId="77777777" w:rsidR="00753E37" w:rsidRDefault="00753E37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6112A9F7" w14:textId="1AA2AB9D" w:rsidR="00C26CE2" w:rsidRPr="00E30950" w:rsidRDefault="00C26CE2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E30950">
        <w:rPr>
          <w:rFonts w:ascii="Times New Roman" w:hAnsi="Times New Roman" w:cs="Times New Roman"/>
        </w:rPr>
        <w:t xml:space="preserve">Zakon o proračunu (NN 144/21) </w:t>
      </w:r>
      <w:r w:rsidR="00121866">
        <w:rPr>
          <w:rFonts w:ascii="Times New Roman" w:hAnsi="Times New Roman" w:cs="Times New Roman"/>
        </w:rPr>
        <w:t>u čl. 86</w:t>
      </w:r>
      <w:r w:rsidR="00753E37">
        <w:rPr>
          <w:rFonts w:ascii="Times New Roman" w:hAnsi="Times New Roman" w:cs="Times New Roman"/>
        </w:rPr>
        <w:t>.</w:t>
      </w:r>
      <w:r w:rsidR="00121866">
        <w:rPr>
          <w:rFonts w:ascii="Times New Roman" w:hAnsi="Times New Roman" w:cs="Times New Roman"/>
        </w:rPr>
        <w:t xml:space="preserve"> navodi da je </w:t>
      </w:r>
      <w:r w:rsidRPr="00E30950">
        <w:rPr>
          <w:rFonts w:ascii="Times New Roman" w:hAnsi="Times New Roman" w:cs="Times New Roman"/>
        </w:rPr>
        <w:t xml:space="preserve">proračunski korisnik dužan </w:t>
      </w:r>
      <w:r w:rsidR="000F6491">
        <w:rPr>
          <w:rFonts w:ascii="Times New Roman" w:hAnsi="Times New Roman" w:cs="Times New Roman"/>
        </w:rPr>
        <w:t xml:space="preserve">do </w:t>
      </w:r>
      <w:r w:rsidR="000F6491" w:rsidRPr="00E30950">
        <w:rPr>
          <w:rFonts w:ascii="Times New Roman" w:hAnsi="Times New Roman" w:cs="Times New Roman"/>
        </w:rPr>
        <w:t xml:space="preserve">31. </w:t>
      </w:r>
      <w:r w:rsidR="000F6491">
        <w:rPr>
          <w:rFonts w:ascii="Times New Roman" w:hAnsi="Times New Roman" w:cs="Times New Roman"/>
        </w:rPr>
        <w:t>ožujka</w:t>
      </w:r>
      <w:r w:rsidR="000F6491" w:rsidRPr="00E30950">
        <w:rPr>
          <w:rFonts w:ascii="Times New Roman" w:hAnsi="Times New Roman" w:cs="Times New Roman"/>
        </w:rPr>
        <w:t xml:space="preserve"> tekuće proračunske godine </w:t>
      </w:r>
      <w:r w:rsidRPr="00E30950">
        <w:rPr>
          <w:rFonts w:ascii="Times New Roman" w:hAnsi="Times New Roman" w:cs="Times New Roman"/>
        </w:rPr>
        <w:t>upravljačkom tijelu</w:t>
      </w:r>
      <w:r>
        <w:rPr>
          <w:rFonts w:ascii="Times New Roman" w:hAnsi="Times New Roman" w:cs="Times New Roman"/>
        </w:rPr>
        <w:t xml:space="preserve"> </w:t>
      </w:r>
      <w:r w:rsidRPr="00E30950">
        <w:rPr>
          <w:rFonts w:ascii="Times New Roman" w:hAnsi="Times New Roman" w:cs="Times New Roman"/>
        </w:rPr>
        <w:t>dostaviti prijedlog godišnjeg izvještaja o izvršenju financijskog plana za proteklo razdoblje na usvajanje.</w:t>
      </w:r>
    </w:p>
    <w:p w14:paraId="240F5142" w14:textId="1B34DC1A" w:rsidR="00C26CE2" w:rsidRPr="00E30950" w:rsidRDefault="00C26CE2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Članci 81. do 84. Zakona, </w:t>
      </w:r>
      <w:r w:rsidRPr="00E30950">
        <w:rPr>
          <w:rFonts w:ascii="Times New Roman" w:hAnsi="Times New Roman" w:cs="Times New Roman"/>
        </w:rPr>
        <w:t>propis</w:t>
      </w:r>
      <w:r w:rsidR="00121866">
        <w:rPr>
          <w:rFonts w:ascii="Times New Roman" w:hAnsi="Times New Roman" w:cs="Times New Roman"/>
        </w:rPr>
        <w:t>uju</w:t>
      </w:r>
      <w:r w:rsidRPr="00E30950">
        <w:rPr>
          <w:rFonts w:ascii="Times New Roman" w:hAnsi="Times New Roman" w:cs="Times New Roman"/>
        </w:rPr>
        <w:t xml:space="preserve"> sadržaj, podnošenje i donošenje izvještaja o izvršenju financijskog plana proračunskih korisnika</w:t>
      </w:r>
      <w:r>
        <w:rPr>
          <w:rFonts w:ascii="Times New Roman" w:hAnsi="Times New Roman" w:cs="Times New Roman"/>
        </w:rPr>
        <w:t>.</w:t>
      </w:r>
      <w:r w:rsidRPr="00E30950">
        <w:rPr>
          <w:rFonts w:ascii="Times New Roman" w:hAnsi="Times New Roman" w:cs="Times New Roman"/>
        </w:rPr>
        <w:t xml:space="preserve"> </w:t>
      </w:r>
      <w:r w:rsidRPr="00753E37">
        <w:rPr>
          <w:rFonts w:ascii="Times New Roman" w:hAnsi="Times New Roman" w:cs="Times New Roman"/>
        </w:rPr>
        <w:t xml:space="preserve">Ministar financija </w:t>
      </w:r>
      <w:r w:rsidR="005F7893" w:rsidRPr="00753E37">
        <w:rPr>
          <w:rFonts w:ascii="Times New Roman" w:hAnsi="Times New Roman" w:cs="Times New Roman"/>
        </w:rPr>
        <w:t>prema čl. 76</w:t>
      </w:r>
      <w:r w:rsidR="00753E37">
        <w:rPr>
          <w:rFonts w:ascii="Times New Roman" w:hAnsi="Times New Roman" w:cs="Times New Roman"/>
        </w:rPr>
        <w:t>.</w:t>
      </w:r>
      <w:r w:rsidR="005F7893" w:rsidRPr="00753E37">
        <w:rPr>
          <w:rFonts w:ascii="Times New Roman" w:hAnsi="Times New Roman" w:cs="Times New Roman"/>
        </w:rPr>
        <w:t>, st. 3</w:t>
      </w:r>
      <w:r w:rsidR="00753E37">
        <w:rPr>
          <w:rFonts w:ascii="Times New Roman" w:hAnsi="Times New Roman" w:cs="Times New Roman"/>
        </w:rPr>
        <w:t>.</w:t>
      </w:r>
      <w:r w:rsidR="005F7893" w:rsidRPr="00753E37">
        <w:rPr>
          <w:rFonts w:ascii="Times New Roman" w:hAnsi="Times New Roman" w:cs="Times New Roman"/>
        </w:rPr>
        <w:t xml:space="preserve"> Zakona o proračunu pro</w:t>
      </w:r>
      <w:r w:rsidRPr="00753E37">
        <w:rPr>
          <w:rFonts w:ascii="Times New Roman" w:hAnsi="Times New Roman" w:cs="Times New Roman"/>
        </w:rPr>
        <w:t>pisuje izgled i sadržaj polugodišnjeg i godišnjeg izvještaja o izvršenju financijskog plana.</w:t>
      </w:r>
    </w:p>
    <w:p w14:paraId="7AAD135C" w14:textId="3A9C93D5" w:rsidR="00C26CE2" w:rsidRPr="005D06BF" w:rsidRDefault="00AB1DCB" w:rsidP="00442F1D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G</w:t>
      </w:r>
      <w:r w:rsidR="00C26CE2" w:rsidRPr="00E30950">
        <w:rPr>
          <w:rFonts w:ascii="Times New Roman" w:hAnsi="Times New Roman" w:cs="Times New Roman"/>
        </w:rPr>
        <w:t xml:space="preserve">odišnji izvještaj o izvršenju financijskog plana proračunskog i </w:t>
      </w:r>
      <w:r w:rsidR="00C26CE2" w:rsidRPr="005D06BF">
        <w:rPr>
          <w:rFonts w:ascii="Times New Roman" w:hAnsi="Times New Roman" w:cs="Times New Roman"/>
        </w:rPr>
        <w:t>izvanproračunskog korisnika sadrži:</w:t>
      </w:r>
    </w:p>
    <w:p w14:paraId="5CCCAE13" w14:textId="270E3560" w:rsidR="00C26CE2" w:rsidRPr="00B450DB" w:rsidRDefault="00C26CE2" w:rsidP="00442F1D">
      <w:pPr>
        <w:pStyle w:val="ListParagraph"/>
        <w:numPr>
          <w:ilvl w:val="0"/>
          <w:numId w:val="15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B450DB">
        <w:rPr>
          <w:rFonts w:ascii="Times New Roman" w:hAnsi="Times New Roman" w:cs="Times New Roman"/>
          <w:b/>
          <w:bCs/>
        </w:rPr>
        <w:t xml:space="preserve"> Opći dio godišnjeg izvještaja o izvršenju financijskog plana</w:t>
      </w:r>
    </w:p>
    <w:p w14:paraId="333F0045" w14:textId="77777777" w:rsidR="00C26CE2" w:rsidRDefault="00C26CE2" w:rsidP="00442F1D">
      <w:pPr>
        <w:pStyle w:val="ListParagraph"/>
        <w:numPr>
          <w:ilvl w:val="0"/>
          <w:numId w:val="9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E30950">
        <w:rPr>
          <w:rFonts w:ascii="Times New Roman" w:hAnsi="Times New Roman" w:cs="Times New Roman"/>
        </w:rPr>
        <w:t>Sažetak računa prihoda i rashoda i računa financiranja</w:t>
      </w:r>
    </w:p>
    <w:p w14:paraId="12FA2A17" w14:textId="77777777" w:rsidR="00C26CE2" w:rsidRDefault="00C26CE2" w:rsidP="00442F1D">
      <w:pPr>
        <w:pStyle w:val="ListParagraph"/>
        <w:spacing w:after="120" w:line="276" w:lineRule="auto"/>
        <w:ind w:lef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-prikaz ukupno ostvarenih prihoda i primitaka te izvršenih rashoda  i izdataka na razini razreda ekonomske klasifikacije, te razliku ukupno ostvarenih prihoda i rashoda te primitaka i izdataka</w:t>
      </w:r>
    </w:p>
    <w:p w14:paraId="222D71B9" w14:textId="77777777" w:rsidR="00C26CE2" w:rsidRPr="00E30950" w:rsidRDefault="00C26CE2" w:rsidP="00442F1D">
      <w:pPr>
        <w:pStyle w:val="ListParagraph"/>
        <w:spacing w:after="120" w:line="276" w:lineRule="auto"/>
        <w:ind w:lef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-podatke o prijenosu sredstava iz prethodne godine i prijenosu sredstava u sljedeću godinu, odnosno podatke o preneseom višku ili manjku iz prethodne u sljedeću godinu.   </w:t>
      </w:r>
    </w:p>
    <w:p w14:paraId="447096FB" w14:textId="77777777" w:rsidR="00C26CE2" w:rsidRDefault="00C26CE2" w:rsidP="00442F1D">
      <w:pPr>
        <w:pStyle w:val="ListParagraph"/>
        <w:numPr>
          <w:ilvl w:val="0"/>
          <w:numId w:val="9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E30950">
        <w:rPr>
          <w:rFonts w:ascii="Times New Roman" w:hAnsi="Times New Roman" w:cs="Times New Roman"/>
        </w:rPr>
        <w:t>Račun prihoda i rashoda</w:t>
      </w:r>
    </w:p>
    <w:p w14:paraId="2E5CEDAE" w14:textId="77777777" w:rsidR="00C26CE2" w:rsidRDefault="00C26CE2" w:rsidP="00442F1D">
      <w:pPr>
        <w:pStyle w:val="ListParagraph"/>
        <w:spacing w:after="120" w:line="276" w:lineRule="auto"/>
        <w:ind w:lef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bookmarkStart w:id="1" w:name="_Hlk203747873"/>
      <w:r>
        <w:rPr>
          <w:rFonts w:ascii="Times New Roman" w:hAnsi="Times New Roman" w:cs="Times New Roman"/>
        </w:rPr>
        <w:t>izvještaj o prihodima i rashodima prema ekonomskoj klasifikaciji</w:t>
      </w:r>
      <w:bookmarkEnd w:id="1"/>
    </w:p>
    <w:p w14:paraId="3E170587" w14:textId="77777777" w:rsidR="00C26CE2" w:rsidRDefault="00C26CE2" w:rsidP="00442F1D">
      <w:pPr>
        <w:pStyle w:val="ListParagraph"/>
        <w:spacing w:after="120" w:line="276" w:lineRule="auto"/>
        <w:ind w:lef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552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izvještaj o prihodima i rashodima prema izvorima financiranja</w:t>
      </w:r>
    </w:p>
    <w:p w14:paraId="143BD34E" w14:textId="4FBAF318" w:rsidR="00C26CE2" w:rsidRDefault="00C26CE2" w:rsidP="00442F1D">
      <w:pPr>
        <w:pStyle w:val="ListParagraph"/>
        <w:spacing w:after="120" w:line="276" w:lineRule="auto"/>
        <w:ind w:lef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552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izvještaj o rashodima prema funkcijskoj klasifikaciji</w:t>
      </w:r>
    </w:p>
    <w:p w14:paraId="562600D8" w14:textId="77777777" w:rsidR="00C26CE2" w:rsidRDefault="00C26CE2" w:rsidP="00442F1D">
      <w:pPr>
        <w:pStyle w:val="ListParagraph"/>
        <w:numPr>
          <w:ilvl w:val="0"/>
          <w:numId w:val="9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E30950">
        <w:rPr>
          <w:rFonts w:ascii="Times New Roman" w:hAnsi="Times New Roman" w:cs="Times New Roman"/>
        </w:rPr>
        <w:t>Račun financiranja</w:t>
      </w:r>
      <w:r>
        <w:rPr>
          <w:rFonts w:ascii="Times New Roman" w:hAnsi="Times New Roman" w:cs="Times New Roman"/>
        </w:rPr>
        <w:t xml:space="preserve"> -</w:t>
      </w:r>
      <w:r w:rsidRPr="00DF7CDF">
        <w:rPr>
          <w:rFonts w:ascii="Times New Roman" w:hAnsi="Times New Roman" w:cs="Times New Roman"/>
        </w:rPr>
        <w:t>iskazuju se primici od financijske imovine i zaduživanja te izdaci za financijsku imovinu i otplate instrumenata zaduživanja</w:t>
      </w:r>
      <w:r>
        <w:rPr>
          <w:rFonts w:ascii="Times New Roman" w:hAnsi="Times New Roman" w:cs="Times New Roman"/>
        </w:rPr>
        <w:t>:</w:t>
      </w:r>
    </w:p>
    <w:p w14:paraId="0AFB5070" w14:textId="7B5C26B8" w:rsidR="00C26CE2" w:rsidRDefault="00C26CE2" w:rsidP="00442F1D">
      <w:pPr>
        <w:pStyle w:val="ListParagraph"/>
        <w:spacing w:after="120" w:line="276" w:lineRule="auto"/>
        <w:ind w:lef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prema ekonomskoj klasifikaciji</w:t>
      </w:r>
    </w:p>
    <w:p w14:paraId="664996BA" w14:textId="77777777" w:rsidR="00C26CE2" w:rsidRDefault="00C26CE2" w:rsidP="00442F1D">
      <w:pPr>
        <w:pStyle w:val="ListParagraph"/>
        <w:spacing w:after="120" w:line="276" w:lineRule="auto"/>
        <w:ind w:lef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552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prema izvorima financiranja</w:t>
      </w:r>
    </w:p>
    <w:p w14:paraId="7196B6A8" w14:textId="77777777" w:rsidR="00753E37" w:rsidRDefault="00753E37" w:rsidP="00442F1D">
      <w:pPr>
        <w:pStyle w:val="ListParagraph"/>
        <w:spacing w:after="120" w:line="276" w:lineRule="auto"/>
        <w:ind w:left="1800"/>
        <w:jc w:val="both"/>
        <w:rPr>
          <w:rFonts w:ascii="Times New Roman" w:hAnsi="Times New Roman" w:cs="Times New Roman"/>
        </w:rPr>
      </w:pPr>
    </w:p>
    <w:p w14:paraId="302846B2" w14:textId="792EFA5B" w:rsidR="00C26CE2" w:rsidRPr="00B450DB" w:rsidRDefault="00C26CE2" w:rsidP="00442F1D">
      <w:pPr>
        <w:pStyle w:val="ListParagraph"/>
        <w:numPr>
          <w:ilvl w:val="0"/>
          <w:numId w:val="15"/>
        </w:num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B450DB">
        <w:rPr>
          <w:rFonts w:ascii="Times New Roman" w:hAnsi="Times New Roman" w:cs="Times New Roman"/>
          <w:b/>
          <w:bCs/>
        </w:rPr>
        <w:t>Posebni dio godišnjeg izvještaja o izvršenju financijskog plana</w:t>
      </w:r>
    </w:p>
    <w:p w14:paraId="42D98F1F" w14:textId="3DEA4457" w:rsidR="00442F1D" w:rsidRPr="00753E37" w:rsidRDefault="00C26CE2" w:rsidP="00753E37">
      <w:pPr>
        <w:pStyle w:val="ListParagraph"/>
        <w:spacing w:after="120" w:line="276" w:lineRule="auto"/>
        <w:ind w:left="1080"/>
        <w:jc w:val="both"/>
        <w:rPr>
          <w:rFonts w:ascii="Times New Roman" w:hAnsi="Times New Roman" w:cs="Times New Roman"/>
        </w:rPr>
      </w:pPr>
      <w:r w:rsidRPr="00DF7CDF">
        <w:rPr>
          <w:rFonts w:ascii="Times New Roman" w:hAnsi="Times New Roman" w:cs="Times New Roman"/>
        </w:rPr>
        <w:t>-sadrži izvršenje rashoda i izdataka iskazanih po izvorima financiranja i ekonomskoj klasifikaciji, raspoređenih u programe koji se sastoje od aktivnosti i projekata.</w:t>
      </w:r>
    </w:p>
    <w:p w14:paraId="18CDBCEA" w14:textId="77777777" w:rsidR="00753E37" w:rsidRDefault="00753E37" w:rsidP="00442F1D">
      <w:pPr>
        <w:pStyle w:val="NormalWeb"/>
        <w:spacing w:before="0" w:beforeAutospacing="0" w:after="120" w:afterAutospacing="0" w:line="276" w:lineRule="auto"/>
        <w:jc w:val="both"/>
        <w:rPr>
          <w:sz w:val="22"/>
          <w:szCs w:val="22"/>
        </w:rPr>
      </w:pPr>
    </w:p>
    <w:p w14:paraId="16DBE103" w14:textId="5F4C9A71" w:rsidR="00C26CE2" w:rsidRDefault="00C26CE2" w:rsidP="00442F1D">
      <w:pPr>
        <w:pStyle w:val="NormalWeb"/>
        <w:spacing w:before="0" w:beforeAutospacing="0" w:after="120" w:afterAutospacing="0" w:line="276" w:lineRule="auto"/>
        <w:jc w:val="both"/>
        <w:rPr>
          <w:sz w:val="22"/>
          <w:szCs w:val="22"/>
        </w:rPr>
      </w:pPr>
      <w:r w:rsidRPr="00E30950">
        <w:rPr>
          <w:sz w:val="22"/>
          <w:szCs w:val="22"/>
        </w:rPr>
        <w:t>Prihodi i primici, rashodi i izdaci u godišnjem izvještaju o izvršenju financijskog plana iskazuju se na razini odjeljka ekonomske klasifikacije.</w:t>
      </w:r>
    </w:p>
    <w:p w14:paraId="0B76DB22" w14:textId="77777777" w:rsidR="00AB1DCB" w:rsidRPr="00E30950" w:rsidRDefault="00AB1DCB" w:rsidP="00442F1D">
      <w:pPr>
        <w:pStyle w:val="NormalWeb"/>
        <w:spacing w:before="0" w:beforeAutospacing="0" w:after="120" w:afterAutospacing="0" w:line="276" w:lineRule="auto"/>
        <w:jc w:val="both"/>
        <w:rPr>
          <w:sz w:val="22"/>
          <w:szCs w:val="22"/>
        </w:rPr>
      </w:pPr>
    </w:p>
    <w:p w14:paraId="0C53EC69" w14:textId="77777777" w:rsidR="00C26CE2" w:rsidRDefault="00C26CE2" w:rsidP="00442F1D">
      <w:pPr>
        <w:pStyle w:val="ListParagraph"/>
        <w:spacing w:after="120" w:line="276" w:lineRule="auto"/>
        <w:ind w:left="1080"/>
        <w:jc w:val="both"/>
        <w:rPr>
          <w:rFonts w:ascii="Times New Roman" w:hAnsi="Times New Roman" w:cs="Times New Roman"/>
        </w:rPr>
      </w:pPr>
    </w:p>
    <w:p w14:paraId="39B9EED4" w14:textId="77777777" w:rsidR="00442F1D" w:rsidRDefault="00442F1D" w:rsidP="00442F1D">
      <w:pPr>
        <w:pStyle w:val="ListParagraph"/>
        <w:spacing w:after="120" w:line="276" w:lineRule="auto"/>
        <w:ind w:left="1080"/>
        <w:jc w:val="both"/>
        <w:rPr>
          <w:rFonts w:ascii="Times New Roman" w:hAnsi="Times New Roman" w:cs="Times New Roman"/>
        </w:rPr>
      </w:pPr>
    </w:p>
    <w:p w14:paraId="53069F82" w14:textId="77777777" w:rsidR="00442F1D" w:rsidRPr="00355273" w:rsidRDefault="00442F1D" w:rsidP="00442F1D">
      <w:pPr>
        <w:pStyle w:val="ListParagraph"/>
        <w:spacing w:after="120" w:line="276" w:lineRule="auto"/>
        <w:ind w:left="1080"/>
        <w:jc w:val="both"/>
        <w:rPr>
          <w:rFonts w:ascii="Times New Roman" w:hAnsi="Times New Roman" w:cs="Times New Roman"/>
        </w:rPr>
      </w:pPr>
    </w:p>
    <w:p w14:paraId="0AA13417" w14:textId="3222D6F4" w:rsidR="00C26CE2" w:rsidRDefault="00C26CE2" w:rsidP="00442F1D">
      <w:pPr>
        <w:pStyle w:val="ListParagraph"/>
        <w:numPr>
          <w:ilvl w:val="0"/>
          <w:numId w:val="15"/>
        </w:num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E62D68">
        <w:rPr>
          <w:rFonts w:ascii="Times New Roman" w:hAnsi="Times New Roman" w:cs="Times New Roman"/>
          <w:b/>
          <w:bCs/>
        </w:rPr>
        <w:t>Obrazloženje godišnjeg izvještaja o izvršenju financijskog plana i posebne izvještaje.</w:t>
      </w:r>
    </w:p>
    <w:p w14:paraId="44538442" w14:textId="27D52B03" w:rsidR="009B4A47" w:rsidRPr="00753E37" w:rsidRDefault="00C26CE2" w:rsidP="00442F1D">
      <w:pPr>
        <w:pStyle w:val="ListParagraph"/>
        <w:numPr>
          <w:ilvl w:val="0"/>
          <w:numId w:val="11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9B4A47">
        <w:rPr>
          <w:rFonts w:ascii="Times New Roman" w:hAnsi="Times New Roman" w:cs="Times New Roman"/>
        </w:rPr>
        <w:t>obrazloženje prema čl. 42</w:t>
      </w:r>
      <w:r w:rsidR="00753E37">
        <w:rPr>
          <w:rFonts w:ascii="Times New Roman" w:hAnsi="Times New Roman" w:cs="Times New Roman"/>
        </w:rPr>
        <w:t>.</w:t>
      </w:r>
      <w:r w:rsidRPr="009B4A47">
        <w:rPr>
          <w:rFonts w:ascii="Times New Roman" w:hAnsi="Times New Roman" w:cs="Times New Roman"/>
        </w:rPr>
        <w:t xml:space="preserve"> Pravilnika</w:t>
      </w:r>
      <w:r w:rsidR="009B4A47" w:rsidRPr="009B4A47">
        <w:rPr>
          <w:rFonts w:ascii="Times New Roman" w:hAnsi="Times New Roman" w:cs="Times New Roman"/>
        </w:rPr>
        <w:t>,</w:t>
      </w:r>
      <w:r w:rsidRPr="009B4A47">
        <w:rPr>
          <w:rFonts w:ascii="Times New Roman" w:hAnsi="Times New Roman" w:cs="Times New Roman"/>
        </w:rPr>
        <w:t xml:space="preserve">  godišnj</w:t>
      </w:r>
      <w:r w:rsidR="009B4A47" w:rsidRPr="009B4A47">
        <w:rPr>
          <w:rFonts w:ascii="Times New Roman" w:hAnsi="Times New Roman" w:cs="Times New Roman"/>
        </w:rPr>
        <w:t>i</w:t>
      </w:r>
      <w:r w:rsidRPr="009B4A47">
        <w:rPr>
          <w:rFonts w:ascii="Times New Roman" w:hAnsi="Times New Roman" w:cs="Times New Roman"/>
        </w:rPr>
        <w:t xml:space="preserve"> izvještaj o izvršenju financijskog plana proračunskog i izvanproračunskog korisnika sastoji se od obrazloženja općeg</w:t>
      </w:r>
      <w:r w:rsidR="00121866" w:rsidRPr="009B4A47">
        <w:rPr>
          <w:rFonts w:ascii="Times New Roman" w:hAnsi="Times New Roman" w:cs="Times New Roman"/>
        </w:rPr>
        <w:t xml:space="preserve"> i posebnog</w:t>
      </w:r>
      <w:r w:rsidRPr="009B4A47">
        <w:rPr>
          <w:rFonts w:ascii="Times New Roman" w:hAnsi="Times New Roman" w:cs="Times New Roman"/>
        </w:rPr>
        <w:t xml:space="preserve"> dijela izvještaja o izvršenju financijskog plana proračunskog i izvanproračunskog korisnika</w:t>
      </w:r>
      <w:r w:rsidR="00121866" w:rsidRPr="009B4A47">
        <w:rPr>
          <w:rFonts w:ascii="Times New Roman" w:hAnsi="Times New Roman" w:cs="Times New Roman"/>
        </w:rPr>
        <w:t>.</w:t>
      </w:r>
    </w:p>
    <w:p w14:paraId="3ED4F547" w14:textId="5D10D713" w:rsidR="00C26CE2" w:rsidRDefault="009B4A47" w:rsidP="00442F1D">
      <w:pPr>
        <w:pStyle w:val="ListParagraph"/>
        <w:numPr>
          <w:ilvl w:val="0"/>
          <w:numId w:val="11"/>
        </w:num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53E37">
        <w:rPr>
          <w:rFonts w:ascii="Times New Roman" w:hAnsi="Times New Roman" w:cs="Times New Roman"/>
        </w:rPr>
        <w:t>p</w:t>
      </w:r>
      <w:r w:rsidR="00C26CE2" w:rsidRPr="00753E37">
        <w:rPr>
          <w:rFonts w:ascii="Times New Roman" w:hAnsi="Times New Roman" w:cs="Times New Roman"/>
        </w:rPr>
        <w:t xml:space="preserve">osebni izvještaj iz članka 76. Zakona </w:t>
      </w:r>
      <w:r w:rsidR="00121866" w:rsidRPr="00753E37">
        <w:rPr>
          <w:rFonts w:ascii="Times New Roman" w:hAnsi="Times New Roman" w:cs="Times New Roman"/>
        </w:rPr>
        <w:t>o</w:t>
      </w:r>
      <w:r w:rsidR="00C26CE2" w:rsidRPr="00753E37">
        <w:rPr>
          <w:rFonts w:ascii="Times New Roman" w:hAnsi="Times New Roman" w:cs="Times New Roman"/>
        </w:rPr>
        <w:t xml:space="preserve"> godišnjem izvještaju o izvršenju financijskog plana proračunskog i izvanproračunskog korisnika je izvještaj o zaduživanju na domaćem i stranom tržištu novca i kapitala.</w:t>
      </w:r>
      <w:r w:rsidRPr="00753E37">
        <w:rPr>
          <w:rFonts w:ascii="Times New Roman" w:hAnsi="Times New Roman" w:cs="Times New Roman"/>
        </w:rPr>
        <w:t xml:space="preserve"> </w:t>
      </w:r>
      <w:r w:rsidR="00C26CE2" w:rsidRPr="009B4A47">
        <w:rPr>
          <w:rFonts w:ascii="Times New Roman" w:eastAsia="Times New Roman" w:hAnsi="Times New Roman" w:cs="Times New Roman"/>
          <w:kern w:val="0"/>
          <w14:ligatures w14:val="none"/>
        </w:rPr>
        <w:t>Posebni izvještaji uz godišnji izvještaj o izvršenju financijskog plana su:</w:t>
      </w:r>
    </w:p>
    <w:p w14:paraId="0AD28382" w14:textId="5C071AFE" w:rsidR="00C26CE2" w:rsidRPr="009B4A47" w:rsidRDefault="00442F1D" w:rsidP="00442F1D">
      <w:pPr>
        <w:spacing w:after="12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="00C26CE2" w:rsidRPr="009B4A47">
        <w:rPr>
          <w:rFonts w:ascii="Times New Roman" w:eastAsia="Times New Roman" w:hAnsi="Times New Roman" w:cs="Times New Roman"/>
          <w:kern w:val="0"/>
          <w14:ligatures w14:val="none"/>
        </w:rPr>
        <w:t xml:space="preserve"> Izvještaj o korištenju sredstava fondova Europske unije,</w:t>
      </w:r>
    </w:p>
    <w:p w14:paraId="490BB61E" w14:textId="7513C809" w:rsidR="00C26CE2" w:rsidRPr="009B4A47" w:rsidRDefault="009B4A47" w:rsidP="00442F1D">
      <w:pPr>
        <w:spacing w:after="12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</w:t>
      </w:r>
      <w:r w:rsidR="00442F1D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="00C26CE2" w:rsidRPr="009B4A47">
        <w:rPr>
          <w:rFonts w:ascii="Times New Roman" w:eastAsia="Times New Roman" w:hAnsi="Times New Roman" w:cs="Times New Roman"/>
          <w:kern w:val="0"/>
          <w14:ligatures w14:val="none"/>
        </w:rPr>
        <w:t xml:space="preserve"> Izvještaj o zaduživanju na domaćem i stranom tržištu novca i kapitala</w:t>
      </w:r>
    </w:p>
    <w:p w14:paraId="615676F6" w14:textId="4DA788B4" w:rsidR="00C26CE2" w:rsidRPr="009B4A47" w:rsidRDefault="009B4A47" w:rsidP="00442F1D">
      <w:pPr>
        <w:spacing w:after="12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</w:t>
      </w:r>
      <w:r w:rsidR="00442F1D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="00C26CE2" w:rsidRPr="009B4A47">
        <w:rPr>
          <w:rFonts w:ascii="Times New Roman" w:eastAsia="Times New Roman" w:hAnsi="Times New Roman" w:cs="Times New Roman"/>
          <w:kern w:val="0"/>
          <w14:ligatures w14:val="none"/>
        </w:rPr>
        <w:t>Izvještaj o danim zajmovima i potraživanjima po danim zajmovima</w:t>
      </w:r>
    </w:p>
    <w:p w14:paraId="0A589895" w14:textId="031BA93D" w:rsidR="009B4A47" w:rsidRDefault="009B4A47" w:rsidP="00442F1D">
      <w:pPr>
        <w:spacing w:after="12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</w:t>
      </w:r>
      <w:r w:rsidR="00442F1D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="00C26CE2" w:rsidRPr="009B4A47">
        <w:rPr>
          <w:rFonts w:ascii="Times New Roman" w:eastAsia="Times New Roman" w:hAnsi="Times New Roman" w:cs="Times New Roman"/>
          <w:kern w:val="0"/>
          <w14:ligatures w14:val="none"/>
        </w:rPr>
        <w:t xml:space="preserve">Izvještaj o stanju potraživanja i dospjelih obveza te o stanju potencijalnih obveza po </w:t>
      </w:r>
    </w:p>
    <w:p w14:paraId="4D1EA1F2" w14:textId="5A82005B" w:rsidR="00C26CE2" w:rsidRPr="009B4A47" w:rsidRDefault="009B4A47" w:rsidP="00442F1D">
      <w:pPr>
        <w:spacing w:after="12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</w:t>
      </w:r>
      <w:r w:rsidR="00C26CE2" w:rsidRPr="009B4A47">
        <w:rPr>
          <w:rFonts w:ascii="Times New Roman" w:eastAsia="Times New Roman" w:hAnsi="Times New Roman" w:cs="Times New Roman"/>
          <w:kern w:val="0"/>
          <w14:ligatures w14:val="none"/>
        </w:rPr>
        <w:t>osnovi sudskih sporova</w:t>
      </w:r>
    </w:p>
    <w:p w14:paraId="32BFA600" w14:textId="21618313" w:rsidR="009B4A47" w:rsidRDefault="00C26CE2" w:rsidP="00442F1D">
      <w:pPr>
        <w:spacing w:after="12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9B4A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B4A47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</w:t>
      </w:r>
      <w:r w:rsidR="00442F1D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9B4A47">
        <w:rPr>
          <w:rFonts w:ascii="Times New Roman" w:eastAsia="Times New Roman" w:hAnsi="Times New Roman" w:cs="Times New Roman"/>
          <w:kern w:val="0"/>
          <w14:ligatures w14:val="none"/>
        </w:rPr>
        <w:t>Izvještaj o danim jamstvima i plaćanjima po protestiranim jamstvima ( ako je</w:t>
      </w:r>
      <w:r w:rsidR="009B4A47"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</w:p>
    <w:p w14:paraId="2B378DF1" w14:textId="69412949" w:rsidR="00C26CE2" w:rsidRPr="009B4A47" w:rsidRDefault="009B4A47" w:rsidP="00442F1D">
      <w:pPr>
        <w:spacing w:after="12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</w:t>
      </w:r>
      <w:r w:rsidR="00C26CE2" w:rsidRPr="009B4A47">
        <w:rPr>
          <w:rFonts w:ascii="Times New Roman" w:eastAsia="Times New Roman" w:hAnsi="Times New Roman" w:cs="Times New Roman"/>
          <w:kern w:val="0"/>
          <w14:ligatures w14:val="none"/>
        </w:rPr>
        <w:t>proračunski i izvanproračunski korisnik dao jamstvo).</w:t>
      </w:r>
    </w:p>
    <w:p w14:paraId="63B3D01B" w14:textId="77777777" w:rsidR="00C26CE2" w:rsidRDefault="00C26CE2" w:rsidP="00442F1D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B4A47">
        <w:rPr>
          <w:rFonts w:ascii="Times New Roman" w:eastAsia="Times New Roman" w:hAnsi="Times New Roman" w:cs="Times New Roman"/>
          <w:kern w:val="0"/>
          <w14:ligatures w14:val="none"/>
        </w:rPr>
        <w:t>Ustanova Kino Edison nema navedene posebne izvještaje jer nije koristila sredstva fondova europske unijenije, nije se zaduživala na domaćem i stranom tržištu novca i kapitala, nema dane zajmove i potraživanja po danim zajmovima, niti sudske sporove.</w:t>
      </w:r>
    </w:p>
    <w:p w14:paraId="3B0A6222" w14:textId="77777777" w:rsidR="00442F1D" w:rsidRDefault="00442F1D" w:rsidP="00442F1D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40056B" w14:textId="77777777" w:rsidR="00442F1D" w:rsidRDefault="00442F1D" w:rsidP="00442F1D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66DE79" w14:textId="77777777" w:rsidR="00442F1D" w:rsidRDefault="00442F1D" w:rsidP="00442F1D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C1C2C7A" w14:textId="77777777" w:rsidR="00442F1D" w:rsidRDefault="00442F1D" w:rsidP="00442F1D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BDF492" w14:textId="77777777" w:rsidR="00442F1D" w:rsidRDefault="00442F1D" w:rsidP="00442F1D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4C6AF6" w14:textId="77777777" w:rsidR="00442F1D" w:rsidRDefault="00442F1D" w:rsidP="00442F1D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1202AE" w14:textId="77777777" w:rsidR="00442F1D" w:rsidRDefault="00442F1D" w:rsidP="00442F1D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B1AC6F" w14:textId="77777777" w:rsidR="00442F1D" w:rsidRDefault="00442F1D" w:rsidP="00442F1D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A6C727" w14:textId="77777777" w:rsidR="00442F1D" w:rsidRDefault="00442F1D" w:rsidP="00442F1D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27CC33" w14:textId="77777777" w:rsidR="00442F1D" w:rsidRDefault="00442F1D" w:rsidP="00442F1D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0E510C4" w14:textId="77777777" w:rsidR="00442F1D" w:rsidRDefault="00442F1D" w:rsidP="00442F1D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369DA1" w14:textId="77777777" w:rsidR="00442F1D" w:rsidRDefault="00442F1D" w:rsidP="00442F1D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9F317B" w14:textId="77777777" w:rsidR="00442F1D" w:rsidRDefault="00442F1D" w:rsidP="00442F1D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0E21BC" w14:textId="77777777" w:rsidR="00442F1D" w:rsidRPr="009B4A47" w:rsidRDefault="00442F1D" w:rsidP="00442F1D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4376B3" w14:textId="77777777" w:rsidR="00C26CE2" w:rsidRDefault="00C26CE2" w:rsidP="00442F1D">
      <w:pPr>
        <w:spacing w:after="12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5D725B" w14:textId="77777777" w:rsidR="00E03569" w:rsidRPr="00E30950" w:rsidRDefault="00E03569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0545F6A5" w14:textId="5605E378" w:rsidR="00637AE4" w:rsidRDefault="005D06BF" w:rsidP="00442F1D">
      <w:pPr>
        <w:pStyle w:val="ListParagraph"/>
        <w:numPr>
          <w:ilvl w:val="1"/>
          <w:numId w:val="14"/>
        </w:numPr>
        <w:spacing w:after="120" w:line="276" w:lineRule="auto"/>
        <w:rPr>
          <w:rFonts w:ascii="Times New Roman" w:hAnsi="Times New Roman" w:cs="Times New Roman"/>
          <w:b/>
          <w:bCs/>
        </w:rPr>
      </w:pPr>
      <w:r w:rsidRPr="00B450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IZVJEŠTAJ</w:t>
      </w:r>
      <w:r w:rsidR="001617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-</w:t>
      </w:r>
      <w:r w:rsidRPr="00B450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7D43AE" w:rsidRPr="00B450DB">
        <w:rPr>
          <w:rFonts w:ascii="Times New Roman" w:hAnsi="Times New Roman" w:cs="Times New Roman"/>
          <w:b/>
          <w:bCs/>
        </w:rPr>
        <w:t>OPĆI DIO</w:t>
      </w:r>
    </w:p>
    <w:p w14:paraId="08C82D99" w14:textId="77777777" w:rsidR="00442F1D" w:rsidRPr="00B450DB" w:rsidRDefault="00442F1D" w:rsidP="00442F1D">
      <w:pPr>
        <w:pStyle w:val="ListParagraph"/>
        <w:spacing w:after="120" w:line="276" w:lineRule="auto"/>
        <w:ind w:left="785"/>
        <w:rPr>
          <w:rFonts w:ascii="Times New Roman" w:hAnsi="Times New Roman" w:cs="Times New Roman"/>
          <w:b/>
          <w:bCs/>
        </w:rPr>
      </w:pPr>
    </w:p>
    <w:p w14:paraId="69263346" w14:textId="5F172755" w:rsidR="007D43AE" w:rsidRPr="00B450DB" w:rsidRDefault="00E03569" w:rsidP="00442F1D">
      <w:pPr>
        <w:pStyle w:val="ListParagraph"/>
        <w:numPr>
          <w:ilvl w:val="2"/>
          <w:numId w:val="14"/>
        </w:num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B450DB">
        <w:rPr>
          <w:rFonts w:ascii="Times New Roman" w:hAnsi="Times New Roman" w:cs="Times New Roman"/>
          <w:b/>
          <w:bCs/>
        </w:rPr>
        <w:t>Sažetak računa prihoda i rashoda i računa financiranja</w:t>
      </w:r>
    </w:p>
    <w:p w14:paraId="5B52AB97" w14:textId="78F53DEA" w:rsidR="00E03569" w:rsidRDefault="00E03569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E30950">
        <w:rPr>
          <w:rFonts w:ascii="Times New Roman" w:hAnsi="Times New Roman" w:cs="Times New Roman"/>
        </w:rPr>
        <w:t xml:space="preserve">Sažetak </w:t>
      </w:r>
      <w:r w:rsidR="0084199A" w:rsidRPr="00E30950">
        <w:rPr>
          <w:rFonts w:ascii="Times New Roman" w:hAnsi="Times New Roman" w:cs="Times New Roman"/>
        </w:rPr>
        <w:t xml:space="preserve"> R</w:t>
      </w:r>
      <w:r w:rsidRPr="00E30950">
        <w:rPr>
          <w:rFonts w:ascii="Times New Roman" w:hAnsi="Times New Roman" w:cs="Times New Roman"/>
        </w:rPr>
        <w:t xml:space="preserve">ačuna prihoda i rashoda i </w:t>
      </w:r>
      <w:r w:rsidR="0084199A" w:rsidRPr="00E30950">
        <w:rPr>
          <w:rFonts w:ascii="Times New Roman" w:hAnsi="Times New Roman" w:cs="Times New Roman"/>
        </w:rPr>
        <w:t xml:space="preserve"> R</w:t>
      </w:r>
      <w:r w:rsidRPr="00E30950">
        <w:rPr>
          <w:rFonts w:ascii="Times New Roman" w:hAnsi="Times New Roman" w:cs="Times New Roman"/>
        </w:rPr>
        <w:t>ačuna financiranja prikazuje ukupne prihode i rashode, te ostvareni višak prihoda na razini razreda ekonomske klasifikacije.</w:t>
      </w:r>
    </w:p>
    <w:p w14:paraId="031F998E" w14:textId="11E0BF12" w:rsidR="00442F1D" w:rsidRPr="00E30950" w:rsidRDefault="00CD0EF0" w:rsidP="00CD0EF0">
      <w:pPr>
        <w:spacing w:after="120" w:line="276" w:lineRule="auto"/>
        <w:jc w:val="center"/>
        <w:rPr>
          <w:rFonts w:ascii="Times New Roman" w:hAnsi="Times New Roman" w:cs="Times New Roman"/>
        </w:rPr>
      </w:pPr>
      <w:r w:rsidRPr="00CD0EF0">
        <w:rPr>
          <w:noProof/>
        </w:rPr>
        <w:drawing>
          <wp:inline distT="0" distB="0" distL="0" distR="0" wp14:anchorId="6B838B18" wp14:editId="29BA9811">
            <wp:extent cx="5535295" cy="2090745"/>
            <wp:effectExtent l="0" t="0" r="8255" b="5080"/>
            <wp:docPr id="3368504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8618" cy="2122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1D0F0" w14:textId="4122AEA4" w:rsidR="00E03569" w:rsidRPr="000C7BE3" w:rsidRDefault="00E03569" w:rsidP="00442F1D">
      <w:pPr>
        <w:spacing w:after="12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EE1A8FE" w14:textId="6E52918F" w:rsidR="00C26CE2" w:rsidRPr="00E30950" w:rsidRDefault="00C26CE2" w:rsidP="00442F1D">
      <w:pPr>
        <w:spacing w:after="120" w:line="276" w:lineRule="auto"/>
        <w:jc w:val="both"/>
        <w:rPr>
          <w:rFonts w:ascii="Times New Roman" w:hAnsi="Times New Roman" w:cs="Times New Roman"/>
          <w:iCs/>
        </w:rPr>
      </w:pPr>
      <w:r w:rsidRPr="00E30950">
        <w:rPr>
          <w:rFonts w:ascii="Times New Roman" w:hAnsi="Times New Roman" w:cs="Times New Roman"/>
        </w:rPr>
        <w:t xml:space="preserve">U </w:t>
      </w:r>
      <w:r>
        <w:rPr>
          <w:rFonts w:ascii="Times New Roman" w:hAnsi="Times New Roman" w:cs="Times New Roman"/>
        </w:rPr>
        <w:t>2025.</w:t>
      </w:r>
      <w:r w:rsidR="00E267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</w:t>
      </w:r>
      <w:r w:rsidR="00E2673A">
        <w:rPr>
          <w:rFonts w:ascii="Times New Roman" w:hAnsi="Times New Roman" w:cs="Times New Roman"/>
        </w:rPr>
        <w:t>odini</w:t>
      </w:r>
      <w:r>
        <w:rPr>
          <w:rFonts w:ascii="Times New Roman" w:hAnsi="Times New Roman" w:cs="Times New Roman"/>
        </w:rPr>
        <w:t xml:space="preserve"> </w:t>
      </w:r>
      <w:r w:rsidRPr="00E30950">
        <w:rPr>
          <w:rFonts w:ascii="Times New Roman" w:hAnsi="Times New Roman" w:cs="Times New Roman"/>
        </w:rPr>
        <w:t>Ustanova je ostvarila ukupn</w:t>
      </w:r>
      <w:r>
        <w:rPr>
          <w:rFonts w:ascii="Times New Roman" w:hAnsi="Times New Roman" w:cs="Times New Roman"/>
        </w:rPr>
        <w:t xml:space="preserve">e prihode u iznosu </w:t>
      </w:r>
      <w:r w:rsidRPr="00E309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651.519,74 eur-a (vlastiti prihodi i prihodi proračuna) što je 2,68% više u odnosu na ostvarene prihode u 2024.</w:t>
      </w:r>
      <w:r w:rsidR="00E267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godini, odnosno 79,69% planiranih za 2025. godinu (bez prenesenih viškova prihoda iz 2024. godine)</w:t>
      </w:r>
      <w:r w:rsidR="00DF374C">
        <w:rPr>
          <w:rFonts w:ascii="Times New Roman" w:hAnsi="Times New Roman" w:cs="Times New Roman"/>
        </w:rPr>
        <w:t xml:space="preserve">. </w:t>
      </w:r>
    </w:p>
    <w:p w14:paraId="621D1C38" w14:textId="256ABC9E" w:rsidR="00C26CE2" w:rsidRDefault="00021039" w:rsidP="00442F1D">
      <w:pPr>
        <w:spacing w:after="120" w:line="276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Utvrđeni knjigovodstveni preneseni višak prihoda i primitaka iz prethodne godine iznosi 130.880,88 eur-a, dok je stvarni višak prihoda </w:t>
      </w:r>
      <w:r w:rsidR="00C26CE2">
        <w:rPr>
          <w:rFonts w:ascii="Times New Roman" w:hAnsi="Times New Roman" w:cs="Times New Roman"/>
          <w:iCs/>
        </w:rPr>
        <w:t xml:space="preserve"> i primitaka prenesen iz prethodne godine</w:t>
      </w:r>
      <w:r>
        <w:rPr>
          <w:rFonts w:ascii="Times New Roman" w:hAnsi="Times New Roman" w:cs="Times New Roman"/>
          <w:iCs/>
        </w:rPr>
        <w:t>,</w:t>
      </w:r>
      <w:r w:rsidR="00C26CE2">
        <w:rPr>
          <w:rFonts w:ascii="Times New Roman" w:hAnsi="Times New Roman" w:cs="Times New Roman"/>
          <w:iCs/>
        </w:rPr>
        <w:t xml:space="preserve">  </w:t>
      </w:r>
      <w:r>
        <w:rPr>
          <w:rFonts w:ascii="Times New Roman" w:hAnsi="Times New Roman" w:cs="Times New Roman"/>
          <w:iCs/>
        </w:rPr>
        <w:t xml:space="preserve">s kojim Ustanova raspolaže, </w:t>
      </w:r>
      <w:r w:rsidR="00C26CE2">
        <w:rPr>
          <w:rFonts w:ascii="Times New Roman" w:hAnsi="Times New Roman" w:cs="Times New Roman"/>
          <w:iCs/>
        </w:rPr>
        <w:t>131.756,00</w:t>
      </w:r>
      <w:r w:rsidR="00C26CE2" w:rsidRPr="00E30950">
        <w:rPr>
          <w:rFonts w:ascii="Times New Roman" w:hAnsi="Times New Roman" w:cs="Times New Roman"/>
          <w:iCs/>
        </w:rPr>
        <w:t xml:space="preserve"> eur-a</w:t>
      </w:r>
      <w:r w:rsidR="00C26CE2">
        <w:rPr>
          <w:rFonts w:ascii="Times New Roman" w:hAnsi="Times New Roman" w:cs="Times New Roman"/>
          <w:iCs/>
        </w:rPr>
        <w:t xml:space="preserve"> te su ta sredstva raspoređena za korištenje u 2025. godini. Preneseni višak se ko</w:t>
      </w:r>
      <w:r w:rsidR="00DF374C">
        <w:rPr>
          <w:rFonts w:ascii="Times New Roman" w:hAnsi="Times New Roman" w:cs="Times New Roman"/>
          <w:iCs/>
        </w:rPr>
        <w:t>ristio</w:t>
      </w:r>
      <w:r w:rsidR="00C26CE2">
        <w:rPr>
          <w:rFonts w:ascii="Times New Roman" w:hAnsi="Times New Roman" w:cs="Times New Roman"/>
          <w:iCs/>
        </w:rPr>
        <w:t xml:space="preserve"> za financiranje rashoda poslovanja</w:t>
      </w:r>
      <w:r w:rsidR="00DF374C">
        <w:rPr>
          <w:rFonts w:ascii="Times New Roman" w:hAnsi="Times New Roman" w:cs="Times New Roman"/>
          <w:iCs/>
        </w:rPr>
        <w:t>.</w:t>
      </w:r>
      <w:r w:rsidR="00C26CE2">
        <w:rPr>
          <w:rFonts w:ascii="Times New Roman" w:hAnsi="Times New Roman" w:cs="Times New Roman"/>
          <w:iCs/>
        </w:rPr>
        <w:t xml:space="preserve"> </w:t>
      </w:r>
    </w:p>
    <w:p w14:paraId="11D08B9B" w14:textId="4C0F7C04" w:rsidR="00C26CE2" w:rsidRPr="00E30950" w:rsidRDefault="00C26CE2" w:rsidP="00442F1D">
      <w:pPr>
        <w:spacing w:after="120" w:line="276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Ukupni  prihod</w:t>
      </w:r>
      <w:r w:rsidR="00DF374C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 xml:space="preserve"> Kina Edison u 2025. godine uključujući i preneseni višak</w:t>
      </w:r>
      <w:r w:rsidR="00021039">
        <w:rPr>
          <w:rFonts w:ascii="Times New Roman" w:hAnsi="Times New Roman" w:cs="Times New Roman"/>
          <w:iCs/>
        </w:rPr>
        <w:t xml:space="preserve"> prihoda i primitaka</w:t>
      </w:r>
      <w:r>
        <w:rPr>
          <w:rFonts w:ascii="Times New Roman" w:hAnsi="Times New Roman" w:cs="Times New Roman"/>
          <w:iCs/>
        </w:rPr>
        <w:t xml:space="preserve"> iz 2024. godine iznosi </w:t>
      </w:r>
      <w:r w:rsidR="00DF374C">
        <w:rPr>
          <w:rFonts w:ascii="Times New Roman" w:hAnsi="Times New Roman" w:cs="Times New Roman"/>
          <w:iCs/>
        </w:rPr>
        <w:t>783.275,74</w:t>
      </w:r>
      <w:r>
        <w:rPr>
          <w:rFonts w:ascii="Times New Roman" w:hAnsi="Times New Roman" w:cs="Times New Roman"/>
          <w:iCs/>
        </w:rPr>
        <w:t xml:space="preserve"> eur-a</w:t>
      </w:r>
      <w:r w:rsidR="00E2673A">
        <w:rPr>
          <w:rFonts w:ascii="Times New Roman" w:hAnsi="Times New Roman" w:cs="Times New Roman"/>
          <w:iCs/>
        </w:rPr>
        <w:t>.</w:t>
      </w:r>
      <w:r w:rsidR="00DF374C">
        <w:rPr>
          <w:rFonts w:ascii="Times New Roman" w:hAnsi="Times New Roman" w:cs="Times New Roman"/>
          <w:iCs/>
        </w:rPr>
        <w:t xml:space="preserve"> </w:t>
      </w:r>
    </w:p>
    <w:p w14:paraId="66D68AB5" w14:textId="4BBD428C" w:rsidR="00A34281" w:rsidRDefault="00C26CE2" w:rsidP="00442F1D">
      <w:pPr>
        <w:spacing w:after="120" w:line="276" w:lineRule="auto"/>
        <w:jc w:val="both"/>
        <w:rPr>
          <w:rFonts w:ascii="Times New Roman" w:hAnsi="Times New Roman" w:cs="Times New Roman"/>
          <w:iCs/>
        </w:rPr>
      </w:pPr>
      <w:r w:rsidRPr="00E30950">
        <w:rPr>
          <w:rFonts w:ascii="Times New Roman" w:hAnsi="Times New Roman" w:cs="Times New Roman"/>
          <w:iCs/>
        </w:rPr>
        <w:t xml:space="preserve">Rashodi poslovanja zajedno s rashodima za nabavu nefinancijske imovine iznose ukupno </w:t>
      </w:r>
      <w:r w:rsidR="00DF374C">
        <w:rPr>
          <w:rFonts w:ascii="Times New Roman" w:hAnsi="Times New Roman" w:cs="Times New Roman"/>
          <w:iCs/>
        </w:rPr>
        <w:t xml:space="preserve">701.020,70 </w:t>
      </w:r>
      <w:r w:rsidRPr="00E30950">
        <w:rPr>
          <w:rFonts w:ascii="Times New Roman" w:hAnsi="Times New Roman" w:cs="Times New Roman"/>
          <w:iCs/>
        </w:rPr>
        <w:t xml:space="preserve">eur-a i čine </w:t>
      </w:r>
      <w:r w:rsidR="00DF374C">
        <w:rPr>
          <w:rFonts w:ascii="Times New Roman" w:hAnsi="Times New Roman" w:cs="Times New Roman"/>
          <w:iCs/>
        </w:rPr>
        <w:t>73,85</w:t>
      </w:r>
      <w:r w:rsidRPr="00E30950">
        <w:rPr>
          <w:rFonts w:ascii="Times New Roman" w:hAnsi="Times New Roman" w:cs="Times New Roman"/>
          <w:iCs/>
        </w:rPr>
        <w:t>%</w:t>
      </w:r>
      <w:r w:rsidR="00DF374C">
        <w:rPr>
          <w:rFonts w:ascii="Times New Roman" w:hAnsi="Times New Roman" w:cs="Times New Roman"/>
          <w:iCs/>
        </w:rPr>
        <w:t xml:space="preserve"> plana. U 2025. godini planirana je javna nabava</w:t>
      </w:r>
      <w:r w:rsidR="00E2673A">
        <w:rPr>
          <w:rFonts w:ascii="Times New Roman" w:hAnsi="Times New Roman" w:cs="Times New Roman"/>
          <w:iCs/>
        </w:rPr>
        <w:t xml:space="preserve"> multimedijske opreme</w:t>
      </w:r>
      <w:r w:rsidR="00DF374C">
        <w:rPr>
          <w:rFonts w:ascii="Times New Roman" w:hAnsi="Times New Roman" w:cs="Times New Roman"/>
          <w:iCs/>
        </w:rPr>
        <w:t xml:space="preserve"> u vrijednosti 40.000</w:t>
      </w:r>
      <w:r w:rsidR="00E2673A">
        <w:rPr>
          <w:rFonts w:ascii="Times New Roman" w:hAnsi="Times New Roman" w:cs="Times New Roman"/>
          <w:iCs/>
        </w:rPr>
        <w:t>,00</w:t>
      </w:r>
      <w:r w:rsidR="00DF374C">
        <w:rPr>
          <w:rFonts w:ascii="Times New Roman" w:hAnsi="Times New Roman" w:cs="Times New Roman"/>
          <w:iCs/>
        </w:rPr>
        <w:t xml:space="preserve"> eur-a koja nije realizirana.</w:t>
      </w:r>
      <w:r w:rsidRPr="00E30950">
        <w:rPr>
          <w:rFonts w:ascii="Times New Roman" w:hAnsi="Times New Roman" w:cs="Times New Roman"/>
          <w:iCs/>
        </w:rPr>
        <w:t xml:space="preserve"> </w:t>
      </w:r>
    </w:p>
    <w:p w14:paraId="750BBBC0" w14:textId="77777777" w:rsidR="00442F1D" w:rsidRPr="000C7BE3" w:rsidRDefault="00442F1D" w:rsidP="00442F1D">
      <w:pPr>
        <w:spacing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6F5ACA" w14:textId="6992EA2A" w:rsidR="00CF4205" w:rsidRPr="000C7BE3" w:rsidRDefault="00A87E53" w:rsidP="00442F1D">
      <w:pPr>
        <w:spacing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 xml:space="preserve">           </w:t>
      </w:r>
      <w:r w:rsidRPr="000C7BE3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A7CB511" wp14:editId="5CC6471D">
            <wp:extent cx="4782185" cy="1349596"/>
            <wp:effectExtent l="0" t="0" r="18415" b="3175"/>
            <wp:docPr id="99044098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865FDC8" w14:textId="77777777" w:rsidR="00A34281" w:rsidRPr="000C7BE3" w:rsidRDefault="00A34281" w:rsidP="00442F1D">
      <w:pPr>
        <w:spacing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AF071BB" w14:textId="648D08B1" w:rsidR="00A34281" w:rsidRPr="00E30950" w:rsidRDefault="00A34281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3D9A6E5F" w14:textId="4FD982AD" w:rsidR="00CF4205" w:rsidRPr="00B450DB" w:rsidRDefault="00F53A63" w:rsidP="00442F1D">
      <w:pPr>
        <w:pStyle w:val="ListParagraph"/>
        <w:numPr>
          <w:ilvl w:val="2"/>
          <w:numId w:val="14"/>
        </w:num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B450DB">
        <w:rPr>
          <w:rFonts w:ascii="Times New Roman" w:hAnsi="Times New Roman" w:cs="Times New Roman"/>
          <w:b/>
          <w:bCs/>
        </w:rPr>
        <w:t>Račun prihoda i rashoda</w:t>
      </w:r>
      <w:r w:rsidR="00CE4EB7" w:rsidRPr="00B450DB">
        <w:rPr>
          <w:rFonts w:ascii="Times New Roman" w:hAnsi="Times New Roman" w:cs="Times New Roman"/>
          <w:b/>
          <w:bCs/>
        </w:rPr>
        <w:t xml:space="preserve"> po ekonomskoj klasifikaciji</w:t>
      </w:r>
    </w:p>
    <w:p w14:paraId="6F1FC3B1" w14:textId="22D8733F" w:rsidR="00EA100E" w:rsidRPr="00B450DB" w:rsidRDefault="00EA100E" w:rsidP="00442F1D">
      <w:pPr>
        <w:pStyle w:val="ListParagraph"/>
        <w:numPr>
          <w:ilvl w:val="0"/>
          <w:numId w:val="9"/>
        </w:num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B450DB">
        <w:rPr>
          <w:rFonts w:ascii="Times New Roman" w:hAnsi="Times New Roman" w:cs="Times New Roman"/>
          <w:b/>
          <w:bCs/>
        </w:rPr>
        <w:t>P</w:t>
      </w:r>
      <w:r w:rsidR="008979EC" w:rsidRPr="00B450DB">
        <w:rPr>
          <w:rFonts w:ascii="Times New Roman" w:hAnsi="Times New Roman" w:cs="Times New Roman"/>
          <w:b/>
          <w:bCs/>
        </w:rPr>
        <w:t>rihodi</w:t>
      </w:r>
    </w:p>
    <w:p w14:paraId="51140757" w14:textId="100B2597" w:rsidR="00F53A63" w:rsidRDefault="009D6F11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E30950">
        <w:rPr>
          <w:rFonts w:ascii="Times New Roman" w:hAnsi="Times New Roman" w:cs="Times New Roman"/>
        </w:rPr>
        <w:t>Ostvareni prihodi u 202</w:t>
      </w:r>
      <w:r w:rsidR="00650858">
        <w:rPr>
          <w:rFonts w:ascii="Times New Roman" w:hAnsi="Times New Roman" w:cs="Times New Roman"/>
        </w:rPr>
        <w:t>5</w:t>
      </w:r>
      <w:r w:rsidRPr="00E30950">
        <w:rPr>
          <w:rFonts w:ascii="Times New Roman" w:hAnsi="Times New Roman" w:cs="Times New Roman"/>
        </w:rPr>
        <w:t>. godini na razini odjeljka prikazani su niže u tablici:</w:t>
      </w:r>
    </w:p>
    <w:p w14:paraId="1A8EB77E" w14:textId="4005FAC3" w:rsidR="00650858" w:rsidRDefault="00650858" w:rsidP="00442F1D">
      <w:pPr>
        <w:spacing w:after="120" w:line="276" w:lineRule="auto"/>
        <w:jc w:val="center"/>
        <w:rPr>
          <w:rFonts w:ascii="Times New Roman" w:hAnsi="Times New Roman" w:cs="Times New Roman"/>
        </w:rPr>
      </w:pPr>
      <w:r w:rsidRPr="00650858">
        <w:rPr>
          <w:noProof/>
        </w:rPr>
        <w:drawing>
          <wp:inline distT="0" distB="0" distL="0" distR="0" wp14:anchorId="14636278" wp14:editId="58D0DB87">
            <wp:extent cx="5455328" cy="2025469"/>
            <wp:effectExtent l="0" t="0" r="0" b="0"/>
            <wp:docPr id="206471297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608" cy="203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4162C" w14:textId="77777777" w:rsidR="00442F1D" w:rsidRDefault="00442F1D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7014B3FB" w14:textId="1A9AD0AC" w:rsidR="00313FE8" w:rsidRDefault="00F31997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Vlastiti p</w:t>
      </w:r>
      <w:r w:rsidR="00650858" w:rsidRPr="00E30950">
        <w:rPr>
          <w:rFonts w:ascii="Times New Roman" w:hAnsi="Times New Roman" w:cs="Times New Roman"/>
        </w:rPr>
        <w:t>rihodi ostvareni</w:t>
      </w:r>
      <w:r w:rsidR="00650858">
        <w:rPr>
          <w:rFonts w:ascii="Times New Roman" w:hAnsi="Times New Roman" w:cs="Times New Roman"/>
        </w:rPr>
        <w:t xml:space="preserve"> u 2025.</w:t>
      </w:r>
      <w:r>
        <w:rPr>
          <w:rFonts w:ascii="Times New Roman" w:hAnsi="Times New Roman" w:cs="Times New Roman"/>
        </w:rPr>
        <w:t xml:space="preserve"> </w:t>
      </w:r>
      <w:r w:rsidR="00650858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odini</w:t>
      </w:r>
      <w:r w:rsidR="00650858">
        <w:rPr>
          <w:rFonts w:ascii="Times New Roman" w:hAnsi="Times New Roman" w:cs="Times New Roman"/>
        </w:rPr>
        <w:t xml:space="preserve">, bez prenesenih viškova iz 2024. godine, odnosno prihodi </w:t>
      </w:r>
      <w:r w:rsidR="00650858" w:rsidRPr="00E30950">
        <w:rPr>
          <w:rFonts w:ascii="Times New Roman" w:hAnsi="Times New Roman" w:cs="Times New Roman"/>
        </w:rPr>
        <w:t xml:space="preserve"> od vlastite djelatnosti, </w:t>
      </w:r>
      <w:r w:rsidR="00650858">
        <w:rPr>
          <w:rFonts w:ascii="Times New Roman" w:hAnsi="Times New Roman" w:cs="Times New Roman"/>
        </w:rPr>
        <w:t>su prihodi</w:t>
      </w:r>
      <w:r w:rsidR="00650858" w:rsidRPr="00E30950">
        <w:rPr>
          <w:rFonts w:ascii="Times New Roman" w:hAnsi="Times New Roman" w:cs="Times New Roman"/>
        </w:rPr>
        <w:t xml:space="preserve"> od prodaje kino ulaznica i manjim dijelom od najma prostora te prihodi od pomoći </w:t>
      </w:r>
      <w:r w:rsidR="00650858">
        <w:rPr>
          <w:rFonts w:ascii="Times New Roman" w:hAnsi="Times New Roman" w:cs="Times New Roman"/>
          <w:iCs/>
        </w:rPr>
        <w:t xml:space="preserve">proračunskim korisnicima iz proračuna koji im nije nadležan – za sufinanciranje projekata i </w:t>
      </w:r>
      <w:r w:rsidR="00650858">
        <w:rPr>
          <w:rFonts w:ascii="Times New Roman" w:hAnsi="Times New Roman" w:cs="Times New Roman"/>
        </w:rPr>
        <w:t xml:space="preserve"> iznose  </w:t>
      </w:r>
      <w:r w:rsidR="00313FE8">
        <w:rPr>
          <w:rFonts w:ascii="Times New Roman" w:hAnsi="Times New Roman" w:cs="Times New Roman"/>
        </w:rPr>
        <w:t>239.271,38</w:t>
      </w:r>
      <w:r w:rsidR="00650858">
        <w:rPr>
          <w:rFonts w:ascii="Times New Roman" w:hAnsi="Times New Roman" w:cs="Times New Roman"/>
        </w:rPr>
        <w:t xml:space="preserve"> </w:t>
      </w:r>
      <w:r w:rsidR="00650858" w:rsidRPr="00E30950">
        <w:rPr>
          <w:rFonts w:ascii="Times New Roman" w:hAnsi="Times New Roman" w:cs="Times New Roman"/>
        </w:rPr>
        <w:t>eur-a</w:t>
      </w:r>
      <w:r w:rsidR="00650858">
        <w:rPr>
          <w:rFonts w:ascii="Times New Roman" w:hAnsi="Times New Roman" w:cs="Times New Roman"/>
        </w:rPr>
        <w:t xml:space="preserve">, </w:t>
      </w:r>
      <w:r w:rsidR="00650858" w:rsidRPr="00E30950">
        <w:rPr>
          <w:rFonts w:ascii="Times New Roman" w:hAnsi="Times New Roman" w:cs="Times New Roman"/>
        </w:rPr>
        <w:t xml:space="preserve">što je </w:t>
      </w:r>
      <w:r w:rsidR="00313FE8">
        <w:rPr>
          <w:rFonts w:ascii="Times New Roman" w:hAnsi="Times New Roman" w:cs="Times New Roman"/>
        </w:rPr>
        <w:t>96,98</w:t>
      </w:r>
      <w:r w:rsidR="00650858">
        <w:rPr>
          <w:rFonts w:ascii="Times New Roman" w:hAnsi="Times New Roman" w:cs="Times New Roman"/>
        </w:rPr>
        <w:t xml:space="preserve">% planiranih za 2025. godinu, odnosno </w:t>
      </w:r>
      <w:r w:rsidR="00313FE8">
        <w:rPr>
          <w:rFonts w:ascii="Times New Roman" w:hAnsi="Times New Roman" w:cs="Times New Roman"/>
        </w:rPr>
        <w:t>2,69</w:t>
      </w:r>
      <w:r w:rsidR="00650858">
        <w:rPr>
          <w:rFonts w:ascii="Times New Roman" w:hAnsi="Times New Roman" w:cs="Times New Roman"/>
        </w:rPr>
        <w:t xml:space="preserve">% </w:t>
      </w:r>
      <w:r w:rsidR="00313FE8">
        <w:rPr>
          <w:rFonts w:ascii="Times New Roman" w:hAnsi="Times New Roman" w:cs="Times New Roman"/>
        </w:rPr>
        <w:t>više</w:t>
      </w:r>
      <w:r w:rsidR="00650858">
        <w:rPr>
          <w:rFonts w:ascii="Times New Roman" w:hAnsi="Times New Roman" w:cs="Times New Roman"/>
        </w:rPr>
        <w:t xml:space="preserve"> u odnosu na ostvarene prihode</w:t>
      </w:r>
      <w:r w:rsidR="00313FE8">
        <w:rPr>
          <w:rFonts w:ascii="Times New Roman" w:hAnsi="Times New Roman" w:cs="Times New Roman"/>
        </w:rPr>
        <w:t xml:space="preserve"> iz istog naslova</w:t>
      </w:r>
      <w:r w:rsidR="00650858">
        <w:rPr>
          <w:rFonts w:ascii="Times New Roman" w:hAnsi="Times New Roman" w:cs="Times New Roman"/>
        </w:rPr>
        <w:t xml:space="preserve"> u istom periodu 2024. godine kada su iznosili </w:t>
      </w:r>
      <w:r w:rsidR="00313FE8">
        <w:rPr>
          <w:rFonts w:ascii="Times New Roman" w:hAnsi="Times New Roman" w:cs="Times New Roman"/>
        </w:rPr>
        <w:t>232.991,63</w:t>
      </w:r>
      <w:r w:rsidR="00650858">
        <w:rPr>
          <w:rFonts w:ascii="Times New Roman" w:hAnsi="Times New Roman" w:cs="Times New Roman"/>
        </w:rPr>
        <w:t xml:space="preserve"> eur-a.</w:t>
      </w:r>
      <w:r w:rsidR="00313FE8">
        <w:rPr>
          <w:rFonts w:ascii="Times New Roman" w:hAnsi="Times New Roman" w:cs="Times New Roman"/>
        </w:rPr>
        <w:t xml:space="preserve"> </w:t>
      </w:r>
    </w:p>
    <w:p w14:paraId="00281F5A" w14:textId="28E22FEA" w:rsidR="00650858" w:rsidRDefault="00650858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E30950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</w:rPr>
        <w:t>Prihodi nadležnog proračuna ostvareni u 2025. godin</w:t>
      </w:r>
      <w:r w:rsidR="00313FE8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iznose </w:t>
      </w:r>
      <w:r w:rsidR="00313FE8">
        <w:rPr>
          <w:rFonts w:ascii="Times New Roman" w:hAnsi="Times New Roman" w:cs="Times New Roman"/>
        </w:rPr>
        <w:t>412.248,36</w:t>
      </w:r>
      <w:r>
        <w:rPr>
          <w:rFonts w:ascii="Times New Roman" w:hAnsi="Times New Roman" w:cs="Times New Roman"/>
        </w:rPr>
        <w:t xml:space="preserve"> eur-a </w:t>
      </w:r>
      <w:r w:rsidR="00313FE8">
        <w:rPr>
          <w:rFonts w:ascii="Times New Roman" w:hAnsi="Times New Roman" w:cs="Times New Roman"/>
        </w:rPr>
        <w:t xml:space="preserve">što je porast od 2,67% </w:t>
      </w:r>
      <w:r>
        <w:rPr>
          <w:rFonts w:ascii="Times New Roman" w:hAnsi="Times New Roman" w:cs="Times New Roman"/>
        </w:rPr>
        <w:t xml:space="preserve"> u </w:t>
      </w:r>
      <w:r w:rsidR="00313FE8">
        <w:rPr>
          <w:rFonts w:ascii="Times New Roman" w:hAnsi="Times New Roman" w:cs="Times New Roman"/>
        </w:rPr>
        <w:t>odnosu na prihode proračuna u</w:t>
      </w:r>
      <w:r>
        <w:rPr>
          <w:rFonts w:ascii="Times New Roman" w:hAnsi="Times New Roman" w:cs="Times New Roman"/>
        </w:rPr>
        <w:t xml:space="preserve"> 2024.g. kada su iznosili </w:t>
      </w:r>
      <w:r w:rsidR="00313FE8">
        <w:rPr>
          <w:rFonts w:ascii="Times New Roman" w:hAnsi="Times New Roman" w:cs="Times New Roman"/>
        </w:rPr>
        <w:t>401.502,91</w:t>
      </w:r>
      <w:r>
        <w:rPr>
          <w:rFonts w:ascii="Times New Roman" w:hAnsi="Times New Roman" w:cs="Times New Roman"/>
        </w:rPr>
        <w:t xml:space="preserve"> eur-a. </w:t>
      </w:r>
    </w:p>
    <w:p w14:paraId="29D63ACF" w14:textId="77777777" w:rsidR="00442F1D" w:rsidRDefault="00442F1D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292D4C44" w14:textId="77777777" w:rsidR="00EB50BE" w:rsidRDefault="0028248A" w:rsidP="00442F1D">
      <w:pPr>
        <w:spacing w:after="120" w:line="276" w:lineRule="auto"/>
        <w:jc w:val="center"/>
        <w:rPr>
          <w:rFonts w:ascii="Times New Roman" w:hAnsi="Times New Roman" w:cs="Times New Roman"/>
        </w:rPr>
      </w:pPr>
      <w:r w:rsidRPr="000C7BE3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0237983" wp14:editId="5F67751B">
            <wp:extent cx="3407595" cy="1171575"/>
            <wp:effectExtent l="0" t="0" r="2540" b="9525"/>
            <wp:docPr id="304644466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9ED6110" w14:textId="77777777" w:rsidR="00915553" w:rsidRDefault="00915553" w:rsidP="00442F1D">
      <w:pPr>
        <w:spacing w:after="120" w:line="276" w:lineRule="auto"/>
        <w:jc w:val="both"/>
        <w:rPr>
          <w:rFonts w:ascii="Times New Roman" w:hAnsi="Times New Roman" w:cs="Times New Roman"/>
          <w:iCs/>
        </w:rPr>
      </w:pPr>
    </w:p>
    <w:p w14:paraId="1C2BEEA3" w14:textId="2A9825C3" w:rsidR="00915553" w:rsidRDefault="009D6F11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E30950">
        <w:rPr>
          <w:rFonts w:ascii="Times New Roman" w:hAnsi="Times New Roman" w:cs="Times New Roman"/>
          <w:iCs/>
        </w:rPr>
        <w:t>Ukupni p</w:t>
      </w:r>
      <w:r w:rsidR="00F53A63" w:rsidRPr="00E30950">
        <w:rPr>
          <w:rFonts w:ascii="Times New Roman" w:hAnsi="Times New Roman" w:cs="Times New Roman"/>
          <w:iCs/>
        </w:rPr>
        <w:t xml:space="preserve">rihodi poslovanja </w:t>
      </w:r>
      <w:r w:rsidR="00EA100E" w:rsidRPr="00E30950">
        <w:rPr>
          <w:rFonts w:ascii="Times New Roman" w:hAnsi="Times New Roman" w:cs="Times New Roman"/>
          <w:iCs/>
        </w:rPr>
        <w:t>realizirani u 202</w:t>
      </w:r>
      <w:r w:rsidR="0054298C">
        <w:rPr>
          <w:rFonts w:ascii="Times New Roman" w:hAnsi="Times New Roman" w:cs="Times New Roman"/>
          <w:iCs/>
        </w:rPr>
        <w:t>5</w:t>
      </w:r>
      <w:r w:rsidR="00EA100E" w:rsidRPr="00E30950">
        <w:rPr>
          <w:rFonts w:ascii="Times New Roman" w:hAnsi="Times New Roman" w:cs="Times New Roman"/>
          <w:iCs/>
        </w:rPr>
        <w:t>. godini</w:t>
      </w:r>
      <w:r w:rsidR="00F53A63" w:rsidRPr="00E30950">
        <w:rPr>
          <w:rFonts w:ascii="Times New Roman" w:hAnsi="Times New Roman" w:cs="Times New Roman"/>
          <w:iCs/>
        </w:rPr>
        <w:t xml:space="preserve"> iznose </w:t>
      </w:r>
      <w:r w:rsidR="0054298C">
        <w:rPr>
          <w:rFonts w:ascii="Times New Roman" w:hAnsi="Times New Roman" w:cs="Times New Roman"/>
          <w:iCs/>
        </w:rPr>
        <w:t>651.519,74</w:t>
      </w:r>
      <w:r w:rsidR="00F53A63" w:rsidRPr="00E30950">
        <w:rPr>
          <w:rFonts w:ascii="Times New Roman" w:hAnsi="Times New Roman" w:cs="Times New Roman"/>
          <w:iCs/>
        </w:rPr>
        <w:t xml:space="preserve"> eur-a</w:t>
      </w:r>
      <w:r w:rsidR="00104613">
        <w:rPr>
          <w:rFonts w:ascii="Times New Roman" w:hAnsi="Times New Roman" w:cs="Times New Roman"/>
          <w:iCs/>
        </w:rPr>
        <w:t xml:space="preserve">, a </w:t>
      </w:r>
      <w:r w:rsidR="00915553">
        <w:rPr>
          <w:rFonts w:ascii="Times New Roman" w:hAnsi="Times New Roman" w:cs="Times New Roman"/>
          <w:iCs/>
        </w:rPr>
        <w:t xml:space="preserve">u </w:t>
      </w:r>
      <w:r w:rsidRPr="00E30950">
        <w:rPr>
          <w:rFonts w:ascii="Times New Roman" w:hAnsi="Times New Roman" w:cs="Times New Roman"/>
          <w:iCs/>
        </w:rPr>
        <w:t xml:space="preserve"> </w:t>
      </w:r>
      <w:r w:rsidR="00915553">
        <w:rPr>
          <w:rFonts w:ascii="Times New Roman" w:hAnsi="Times New Roman" w:cs="Times New Roman"/>
        </w:rPr>
        <w:t>ukupnoj strukturi realiziranih prihoda, p</w:t>
      </w:r>
      <w:r w:rsidR="00915553" w:rsidRPr="00E30950">
        <w:rPr>
          <w:rFonts w:ascii="Times New Roman" w:hAnsi="Times New Roman" w:cs="Times New Roman"/>
          <w:iCs/>
        </w:rPr>
        <w:t xml:space="preserve">rihodi </w:t>
      </w:r>
      <w:r w:rsidR="00915553">
        <w:rPr>
          <w:rFonts w:ascii="Times New Roman" w:hAnsi="Times New Roman" w:cs="Times New Roman"/>
          <w:iCs/>
        </w:rPr>
        <w:t xml:space="preserve">nadležnog </w:t>
      </w:r>
      <w:r w:rsidR="00915553" w:rsidRPr="00E30950">
        <w:rPr>
          <w:rFonts w:ascii="Times New Roman" w:hAnsi="Times New Roman" w:cs="Times New Roman"/>
          <w:iCs/>
        </w:rPr>
        <w:t xml:space="preserve">proračuna </w:t>
      </w:r>
      <w:r w:rsidR="00915553">
        <w:rPr>
          <w:rFonts w:ascii="Times New Roman" w:hAnsi="Times New Roman" w:cs="Times New Roman"/>
          <w:iCs/>
        </w:rPr>
        <w:t xml:space="preserve">(67) čine </w:t>
      </w:r>
      <w:r w:rsidR="00915553" w:rsidRPr="00E30950">
        <w:rPr>
          <w:rFonts w:ascii="Times New Roman" w:hAnsi="Times New Roman" w:cs="Times New Roman"/>
          <w:iCs/>
        </w:rPr>
        <w:t xml:space="preserve"> </w:t>
      </w:r>
      <w:r w:rsidR="00915553">
        <w:rPr>
          <w:rFonts w:ascii="Times New Roman" w:hAnsi="Times New Roman" w:cs="Times New Roman"/>
          <w:iCs/>
        </w:rPr>
        <w:t>63,27</w:t>
      </w:r>
      <w:r w:rsidR="00915553" w:rsidRPr="00E30950">
        <w:rPr>
          <w:rFonts w:ascii="Times New Roman" w:hAnsi="Times New Roman" w:cs="Times New Roman"/>
          <w:iCs/>
        </w:rPr>
        <w:t>% ukupnih prihoda</w:t>
      </w:r>
      <w:r w:rsidR="00915553">
        <w:rPr>
          <w:rFonts w:ascii="Times New Roman" w:hAnsi="Times New Roman" w:cs="Times New Roman"/>
          <w:iCs/>
        </w:rPr>
        <w:t>,</w:t>
      </w:r>
      <w:r w:rsidR="00915553" w:rsidRPr="00D0505A">
        <w:rPr>
          <w:rFonts w:ascii="Times New Roman" w:hAnsi="Times New Roman" w:cs="Times New Roman"/>
        </w:rPr>
        <w:t xml:space="preserve"> </w:t>
      </w:r>
      <w:r w:rsidR="00915553" w:rsidRPr="00E30950">
        <w:rPr>
          <w:rFonts w:ascii="Times New Roman" w:hAnsi="Times New Roman" w:cs="Times New Roman"/>
        </w:rPr>
        <w:t xml:space="preserve">vlastiti prihodi </w:t>
      </w:r>
      <w:r w:rsidR="00915553">
        <w:rPr>
          <w:rFonts w:ascii="Times New Roman" w:hAnsi="Times New Roman" w:cs="Times New Roman"/>
        </w:rPr>
        <w:t>(65,66) 30,02%, a prihodi od sufinanciranja-pomoći iz proračuna koji nije nadležan (63) čine 6,71%:</w:t>
      </w:r>
    </w:p>
    <w:p w14:paraId="738250E9" w14:textId="0160AC1A" w:rsidR="009D6F11" w:rsidRPr="00E30950" w:rsidRDefault="00F53A63" w:rsidP="00442F1D">
      <w:pPr>
        <w:spacing w:after="120" w:line="276" w:lineRule="auto"/>
        <w:ind w:left="405"/>
        <w:jc w:val="both"/>
        <w:rPr>
          <w:rFonts w:ascii="Times New Roman" w:hAnsi="Times New Roman" w:cs="Times New Roman"/>
          <w:iCs/>
        </w:rPr>
      </w:pPr>
      <w:r w:rsidRPr="00E30950">
        <w:rPr>
          <w:rFonts w:ascii="Times New Roman" w:hAnsi="Times New Roman" w:cs="Times New Roman"/>
          <w:iCs/>
        </w:rPr>
        <w:t xml:space="preserve">- </w:t>
      </w:r>
      <w:r w:rsidR="0054298C">
        <w:rPr>
          <w:rFonts w:ascii="Times New Roman" w:hAnsi="Times New Roman" w:cs="Times New Roman"/>
          <w:iCs/>
        </w:rPr>
        <w:t>412.248,36</w:t>
      </w:r>
      <w:r w:rsidRPr="00E30950">
        <w:rPr>
          <w:rFonts w:ascii="Times New Roman" w:hAnsi="Times New Roman" w:cs="Times New Roman"/>
          <w:iCs/>
        </w:rPr>
        <w:t xml:space="preserve"> eur-a prihode iz nadležnog proračuna za financiranje djelatnosti</w:t>
      </w:r>
    </w:p>
    <w:p w14:paraId="0EFCC301" w14:textId="16A2AE75" w:rsidR="00F53A63" w:rsidRDefault="00F53A63" w:rsidP="00442F1D">
      <w:pPr>
        <w:spacing w:after="120" w:line="276" w:lineRule="auto"/>
        <w:ind w:left="405"/>
        <w:jc w:val="both"/>
        <w:rPr>
          <w:rFonts w:ascii="Times New Roman" w:hAnsi="Times New Roman" w:cs="Times New Roman"/>
          <w:iCs/>
        </w:rPr>
      </w:pPr>
      <w:r w:rsidRPr="00E30950">
        <w:rPr>
          <w:rFonts w:ascii="Times New Roman" w:hAnsi="Times New Roman" w:cs="Times New Roman"/>
          <w:iCs/>
        </w:rPr>
        <w:t xml:space="preserve">- </w:t>
      </w:r>
      <w:r w:rsidR="0054298C">
        <w:rPr>
          <w:rFonts w:ascii="Times New Roman" w:hAnsi="Times New Roman" w:cs="Times New Roman"/>
          <w:iCs/>
        </w:rPr>
        <w:t>239.271,38</w:t>
      </w:r>
      <w:r w:rsidRPr="00E30950">
        <w:rPr>
          <w:rFonts w:ascii="Times New Roman" w:hAnsi="Times New Roman" w:cs="Times New Roman"/>
          <w:iCs/>
        </w:rPr>
        <w:t xml:space="preserve"> eur-a vlastite prihode</w:t>
      </w:r>
      <w:r w:rsidR="00114E49" w:rsidRPr="00E30950">
        <w:rPr>
          <w:rFonts w:ascii="Times New Roman" w:hAnsi="Times New Roman" w:cs="Times New Roman"/>
          <w:iCs/>
        </w:rPr>
        <w:t>:</w:t>
      </w:r>
      <w:r w:rsidR="009D6F11" w:rsidRPr="00E30950">
        <w:rPr>
          <w:rFonts w:ascii="Times New Roman" w:hAnsi="Times New Roman" w:cs="Times New Roman"/>
          <w:iCs/>
        </w:rPr>
        <w:t xml:space="preserve"> ostvarene od prodaje ulaznica</w:t>
      </w:r>
      <w:r w:rsidR="00EA100E" w:rsidRPr="00E30950">
        <w:rPr>
          <w:rFonts w:ascii="Times New Roman" w:hAnsi="Times New Roman" w:cs="Times New Roman"/>
          <w:iCs/>
        </w:rPr>
        <w:t>,</w:t>
      </w:r>
      <w:r w:rsidR="009D6F11" w:rsidRPr="00E30950">
        <w:rPr>
          <w:rFonts w:ascii="Times New Roman" w:hAnsi="Times New Roman" w:cs="Times New Roman"/>
          <w:iCs/>
        </w:rPr>
        <w:t xml:space="preserve"> najma prostora</w:t>
      </w:r>
      <w:r w:rsidR="00EA100E" w:rsidRPr="00E30950">
        <w:rPr>
          <w:rFonts w:ascii="Times New Roman" w:hAnsi="Times New Roman" w:cs="Times New Roman"/>
          <w:iCs/>
        </w:rPr>
        <w:t xml:space="preserve"> i prihoda dobivenih od županije, HAVC-a </w:t>
      </w:r>
      <w:r w:rsidR="000A42F2">
        <w:rPr>
          <w:rFonts w:ascii="Times New Roman" w:hAnsi="Times New Roman" w:cs="Times New Roman"/>
          <w:iCs/>
        </w:rPr>
        <w:t>i</w:t>
      </w:r>
      <w:r w:rsidR="00EA100E" w:rsidRPr="00E30950">
        <w:rPr>
          <w:rFonts w:ascii="Times New Roman" w:hAnsi="Times New Roman" w:cs="Times New Roman"/>
          <w:iCs/>
        </w:rPr>
        <w:t xml:space="preserve"> </w:t>
      </w:r>
      <w:r w:rsidR="000A42F2">
        <w:rPr>
          <w:rFonts w:ascii="Times New Roman" w:hAnsi="Times New Roman" w:cs="Times New Roman"/>
          <w:iCs/>
        </w:rPr>
        <w:t>DHFA</w:t>
      </w:r>
      <w:r w:rsidR="00EA100E" w:rsidRPr="00E30950">
        <w:rPr>
          <w:rFonts w:ascii="Times New Roman" w:hAnsi="Times New Roman" w:cs="Times New Roman"/>
          <w:iCs/>
        </w:rPr>
        <w:t xml:space="preserve"> za financiranje programskih aktivnosti</w:t>
      </w:r>
      <w:r w:rsidR="00442F1D">
        <w:rPr>
          <w:rFonts w:ascii="Times New Roman" w:hAnsi="Times New Roman" w:cs="Times New Roman"/>
          <w:iCs/>
        </w:rPr>
        <w:t>.</w:t>
      </w:r>
    </w:p>
    <w:p w14:paraId="27FD4F5F" w14:textId="77777777" w:rsidR="00442F1D" w:rsidRDefault="00442F1D" w:rsidP="00442F1D">
      <w:pPr>
        <w:spacing w:after="120" w:line="276" w:lineRule="auto"/>
        <w:ind w:left="405"/>
        <w:jc w:val="both"/>
        <w:rPr>
          <w:rFonts w:ascii="Times New Roman" w:hAnsi="Times New Roman" w:cs="Times New Roman"/>
          <w:iCs/>
        </w:rPr>
      </w:pPr>
    </w:p>
    <w:p w14:paraId="79FA6932" w14:textId="77777777" w:rsidR="00442F1D" w:rsidRPr="00E30950" w:rsidRDefault="00442F1D" w:rsidP="00442F1D">
      <w:pPr>
        <w:spacing w:after="120" w:line="276" w:lineRule="auto"/>
        <w:ind w:left="405"/>
        <w:jc w:val="both"/>
        <w:rPr>
          <w:rFonts w:ascii="Times New Roman" w:hAnsi="Times New Roman" w:cs="Times New Roman"/>
          <w:iCs/>
        </w:rPr>
      </w:pPr>
    </w:p>
    <w:p w14:paraId="6837C487" w14:textId="4DA715C0" w:rsidR="00114E49" w:rsidRDefault="00114E49" w:rsidP="00442F1D">
      <w:pPr>
        <w:spacing w:after="120" w:line="276" w:lineRule="auto"/>
        <w:ind w:left="405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noProof/>
          <w:sz w:val="20"/>
          <w:szCs w:val="20"/>
        </w:rPr>
        <w:drawing>
          <wp:inline distT="0" distB="0" distL="0" distR="0" wp14:anchorId="1DFA478F" wp14:editId="7F4674DB">
            <wp:extent cx="4189730" cy="1251751"/>
            <wp:effectExtent l="0" t="0" r="0" b="120015"/>
            <wp:docPr id="701168785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1EA7E29B" w14:textId="77777777" w:rsidR="0054298C" w:rsidRDefault="0054298C" w:rsidP="00442F1D">
      <w:pPr>
        <w:spacing w:after="120" w:line="276" w:lineRule="auto"/>
        <w:ind w:left="405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3FDB3AE1" w14:textId="77777777" w:rsidR="00915553" w:rsidRDefault="00915553" w:rsidP="00442F1D">
      <w:pPr>
        <w:spacing w:after="120" w:line="276" w:lineRule="auto"/>
        <w:ind w:left="405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39219751" w14:textId="5E8F488E" w:rsidR="0054298C" w:rsidRPr="00944F29" w:rsidRDefault="0054298C" w:rsidP="00442F1D">
      <w:pPr>
        <w:spacing w:after="120" w:line="276" w:lineRule="auto"/>
        <w:ind w:left="405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944F29">
        <w:rPr>
          <w:rFonts w:ascii="Times New Roman" w:hAnsi="Times New Roman" w:cs="Times New Roman"/>
          <w:iCs/>
          <w:sz w:val="20"/>
          <w:szCs w:val="20"/>
        </w:rPr>
        <w:t>UKUPN</w:t>
      </w:r>
      <w:r>
        <w:rPr>
          <w:rFonts w:ascii="Times New Roman" w:hAnsi="Times New Roman" w:cs="Times New Roman"/>
          <w:iCs/>
          <w:sz w:val="20"/>
          <w:szCs w:val="20"/>
        </w:rPr>
        <w:t xml:space="preserve">O OSTVARENI </w:t>
      </w:r>
      <w:r w:rsidRPr="00944F29">
        <w:rPr>
          <w:rFonts w:ascii="Times New Roman" w:hAnsi="Times New Roman" w:cs="Times New Roman"/>
          <w:iCs/>
          <w:sz w:val="20"/>
          <w:szCs w:val="20"/>
        </w:rPr>
        <w:t xml:space="preserve"> PRIHODI </w:t>
      </w:r>
      <w:r>
        <w:rPr>
          <w:rFonts w:ascii="Times New Roman" w:hAnsi="Times New Roman" w:cs="Times New Roman"/>
          <w:iCs/>
          <w:sz w:val="20"/>
          <w:szCs w:val="20"/>
        </w:rPr>
        <w:t>U 2025.G.</w:t>
      </w:r>
      <w:r w:rsidRPr="00944F29">
        <w:rPr>
          <w:rFonts w:ascii="Times New Roman" w:hAnsi="Times New Roman" w:cs="Times New Roman"/>
          <w:iCs/>
          <w:sz w:val="20"/>
          <w:szCs w:val="20"/>
        </w:rPr>
        <w:t xml:space="preserve">        </w:t>
      </w:r>
      <w:r w:rsidR="006417B8">
        <w:rPr>
          <w:rFonts w:ascii="Times New Roman" w:hAnsi="Times New Roman" w:cs="Times New Roman"/>
          <w:iCs/>
          <w:sz w:val="20"/>
          <w:szCs w:val="20"/>
        </w:rPr>
        <w:t xml:space="preserve">                                                </w:t>
      </w:r>
      <w:r>
        <w:rPr>
          <w:rFonts w:ascii="Times New Roman" w:hAnsi="Times New Roman" w:cs="Times New Roman"/>
          <w:iCs/>
          <w:sz w:val="20"/>
          <w:szCs w:val="20"/>
        </w:rPr>
        <w:t>651.519,74</w:t>
      </w:r>
      <w:r w:rsidRPr="00944F29">
        <w:rPr>
          <w:rFonts w:ascii="Times New Roman" w:hAnsi="Times New Roman" w:cs="Times New Roman"/>
          <w:iCs/>
          <w:sz w:val="20"/>
          <w:szCs w:val="20"/>
        </w:rPr>
        <w:t xml:space="preserve"> eur-a</w:t>
      </w:r>
    </w:p>
    <w:p w14:paraId="58B6BDBD" w14:textId="2A5080EE" w:rsidR="0054298C" w:rsidRPr="00944F29" w:rsidRDefault="0054298C" w:rsidP="00442F1D">
      <w:pPr>
        <w:spacing w:after="120" w:line="276" w:lineRule="auto"/>
        <w:ind w:left="405"/>
        <w:jc w:val="both"/>
        <w:rPr>
          <w:rFonts w:ascii="Times New Roman" w:hAnsi="Times New Roman" w:cs="Times New Roman"/>
          <w:iCs/>
          <w:sz w:val="20"/>
          <w:szCs w:val="20"/>
          <w:u w:val="single"/>
        </w:rPr>
      </w:pPr>
      <w:r w:rsidRPr="00944F29">
        <w:rPr>
          <w:rFonts w:ascii="Times New Roman" w:hAnsi="Times New Roman" w:cs="Times New Roman"/>
          <w:iCs/>
          <w:sz w:val="20"/>
          <w:szCs w:val="20"/>
        </w:rPr>
        <w:t xml:space="preserve">PRIJENOS VIŠKOVA  </w:t>
      </w:r>
      <w:r w:rsidR="006417B8">
        <w:rPr>
          <w:rFonts w:ascii="Times New Roman" w:hAnsi="Times New Roman" w:cs="Times New Roman"/>
          <w:iCs/>
          <w:sz w:val="20"/>
          <w:szCs w:val="20"/>
        </w:rPr>
        <w:t>I PRIMITAKA ZA RASPODJELU I KORIŠTENJE</w:t>
      </w:r>
      <w:r>
        <w:rPr>
          <w:rFonts w:ascii="Times New Roman" w:hAnsi="Times New Roman" w:cs="Times New Roman"/>
          <w:iCs/>
          <w:sz w:val="20"/>
          <w:szCs w:val="20"/>
        </w:rPr>
        <w:t xml:space="preserve">          </w:t>
      </w:r>
      <w:r w:rsidRPr="00944F29">
        <w:rPr>
          <w:rFonts w:ascii="Times New Roman" w:hAnsi="Times New Roman" w:cs="Times New Roman"/>
          <w:iCs/>
          <w:sz w:val="20"/>
          <w:szCs w:val="20"/>
          <w:u w:val="single"/>
        </w:rPr>
        <w:t>131.756,00 eur-a</w:t>
      </w:r>
    </w:p>
    <w:p w14:paraId="7599E827" w14:textId="5DA1E244" w:rsidR="0054298C" w:rsidRPr="00944F29" w:rsidRDefault="0054298C" w:rsidP="00442F1D">
      <w:pPr>
        <w:spacing w:after="120" w:line="276" w:lineRule="auto"/>
        <w:ind w:left="405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944F29">
        <w:rPr>
          <w:rFonts w:ascii="Times New Roman" w:hAnsi="Times New Roman" w:cs="Times New Roman"/>
          <w:iCs/>
          <w:sz w:val="20"/>
          <w:szCs w:val="20"/>
        </w:rPr>
        <w:t xml:space="preserve">UKUPNO                      </w:t>
      </w:r>
      <w:r>
        <w:rPr>
          <w:rFonts w:ascii="Times New Roman" w:hAnsi="Times New Roman" w:cs="Times New Roman"/>
          <w:iCs/>
          <w:sz w:val="20"/>
          <w:szCs w:val="20"/>
        </w:rPr>
        <w:t xml:space="preserve">                                 </w:t>
      </w:r>
      <w:r w:rsidR="006417B8">
        <w:rPr>
          <w:rFonts w:ascii="Times New Roman" w:hAnsi="Times New Roman" w:cs="Times New Roman"/>
          <w:iCs/>
          <w:sz w:val="20"/>
          <w:szCs w:val="20"/>
        </w:rPr>
        <w:t xml:space="preserve">                                                </w:t>
      </w:r>
      <w:r>
        <w:rPr>
          <w:rFonts w:ascii="Times New Roman" w:hAnsi="Times New Roman" w:cs="Times New Roman"/>
          <w:iCs/>
          <w:sz w:val="20"/>
          <w:szCs w:val="20"/>
        </w:rPr>
        <w:t xml:space="preserve">         </w:t>
      </w:r>
      <w:r w:rsidRPr="00944F29">
        <w:rPr>
          <w:rFonts w:ascii="Times New Roman" w:hAnsi="Times New Roman" w:cs="Times New Roman"/>
          <w:iCs/>
          <w:sz w:val="20"/>
          <w:szCs w:val="20"/>
        </w:rPr>
        <w:t xml:space="preserve">   </w:t>
      </w:r>
      <w:r>
        <w:rPr>
          <w:rFonts w:ascii="Times New Roman" w:hAnsi="Times New Roman" w:cs="Times New Roman"/>
          <w:iCs/>
          <w:sz w:val="20"/>
          <w:szCs w:val="20"/>
        </w:rPr>
        <w:t>783.275,74</w:t>
      </w:r>
      <w:r w:rsidRPr="00944F29">
        <w:rPr>
          <w:rFonts w:ascii="Times New Roman" w:hAnsi="Times New Roman" w:cs="Times New Roman"/>
          <w:iCs/>
          <w:sz w:val="20"/>
          <w:szCs w:val="20"/>
        </w:rPr>
        <w:t xml:space="preserve"> eur-a</w:t>
      </w:r>
    </w:p>
    <w:p w14:paraId="0D023438" w14:textId="77777777" w:rsidR="00C14453" w:rsidRDefault="00C14453" w:rsidP="00442F1D">
      <w:pPr>
        <w:spacing w:after="120" w:line="276" w:lineRule="auto"/>
        <w:ind w:left="405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3D36E818" w14:textId="421E8C66" w:rsidR="009D6F11" w:rsidRPr="00E30950" w:rsidRDefault="00EA100E" w:rsidP="00442F1D">
      <w:pPr>
        <w:spacing w:after="120" w:line="276" w:lineRule="auto"/>
        <w:ind w:left="405"/>
        <w:jc w:val="both"/>
        <w:rPr>
          <w:rFonts w:ascii="Times New Roman" w:hAnsi="Times New Roman" w:cs="Times New Roman"/>
          <w:i/>
        </w:rPr>
      </w:pPr>
      <w:r w:rsidRPr="00E30950">
        <w:rPr>
          <w:rFonts w:ascii="Times New Roman" w:hAnsi="Times New Roman" w:cs="Times New Roman"/>
          <w:iCs/>
        </w:rPr>
        <w:t xml:space="preserve"> </w:t>
      </w:r>
      <w:r w:rsidRPr="00E30950">
        <w:rPr>
          <w:rFonts w:ascii="Times New Roman" w:hAnsi="Times New Roman" w:cs="Times New Roman"/>
          <w:i/>
        </w:rPr>
        <w:t>63 -  Pomoći iz inozemstva i od subjekata unutar općeg proračuna</w:t>
      </w:r>
    </w:p>
    <w:p w14:paraId="2EB9F93F" w14:textId="14DCFD5D" w:rsidR="002F5960" w:rsidRPr="00E30950" w:rsidRDefault="00EA100E" w:rsidP="00442F1D">
      <w:pPr>
        <w:spacing w:after="120" w:line="276" w:lineRule="auto"/>
        <w:ind w:left="405"/>
        <w:jc w:val="both"/>
        <w:rPr>
          <w:rFonts w:ascii="Times New Roman" w:hAnsi="Times New Roman" w:cs="Times New Roman"/>
          <w:iCs/>
        </w:rPr>
      </w:pPr>
      <w:r w:rsidRPr="00E30950">
        <w:rPr>
          <w:rFonts w:ascii="Times New Roman" w:hAnsi="Times New Roman" w:cs="Times New Roman"/>
          <w:iCs/>
        </w:rPr>
        <w:t xml:space="preserve">Radi se o prihodima iz Županijskog proračuna, HAVC-a </w:t>
      </w:r>
      <w:r w:rsidR="000A42F2">
        <w:rPr>
          <w:rFonts w:ascii="Times New Roman" w:hAnsi="Times New Roman" w:cs="Times New Roman"/>
          <w:iCs/>
        </w:rPr>
        <w:t>i</w:t>
      </w:r>
      <w:r w:rsidRPr="00E30950">
        <w:rPr>
          <w:rFonts w:ascii="Times New Roman" w:hAnsi="Times New Roman" w:cs="Times New Roman"/>
          <w:iCs/>
        </w:rPr>
        <w:t xml:space="preserve"> </w:t>
      </w:r>
      <w:r w:rsidR="000A42F2">
        <w:rPr>
          <w:rFonts w:ascii="Times New Roman" w:hAnsi="Times New Roman" w:cs="Times New Roman"/>
          <w:iCs/>
        </w:rPr>
        <w:t>DHFA</w:t>
      </w:r>
      <w:r w:rsidRPr="00E30950">
        <w:rPr>
          <w:rFonts w:ascii="Times New Roman" w:hAnsi="Times New Roman" w:cs="Times New Roman"/>
          <w:iCs/>
        </w:rPr>
        <w:t xml:space="preserve"> za financiranje programskih aktivnosti u ukupnom iznosu </w:t>
      </w:r>
      <w:r w:rsidR="0054298C">
        <w:rPr>
          <w:rFonts w:ascii="Times New Roman" w:hAnsi="Times New Roman" w:cs="Times New Roman"/>
          <w:iCs/>
        </w:rPr>
        <w:t>43.720,00</w:t>
      </w:r>
      <w:r w:rsidR="002F5960" w:rsidRPr="00E30950">
        <w:rPr>
          <w:rFonts w:ascii="Times New Roman" w:hAnsi="Times New Roman" w:cs="Times New Roman"/>
          <w:iCs/>
        </w:rPr>
        <w:t xml:space="preserve"> eur-a</w:t>
      </w:r>
      <w:r w:rsidR="00C04D5A" w:rsidRPr="00E30950">
        <w:rPr>
          <w:rFonts w:ascii="Times New Roman" w:hAnsi="Times New Roman" w:cs="Times New Roman"/>
          <w:iCs/>
        </w:rPr>
        <w:t xml:space="preserve"> što je </w:t>
      </w:r>
      <w:r w:rsidR="0054298C">
        <w:rPr>
          <w:rFonts w:ascii="Times New Roman" w:hAnsi="Times New Roman" w:cs="Times New Roman"/>
          <w:iCs/>
        </w:rPr>
        <w:t>100</w:t>
      </w:r>
      <w:r w:rsidR="00C04D5A" w:rsidRPr="00E30950">
        <w:rPr>
          <w:rFonts w:ascii="Times New Roman" w:hAnsi="Times New Roman" w:cs="Times New Roman"/>
          <w:iCs/>
        </w:rPr>
        <w:t>% planiranih.</w:t>
      </w:r>
      <w:r w:rsidR="002F5960" w:rsidRPr="00E30950">
        <w:rPr>
          <w:rFonts w:ascii="Times New Roman" w:hAnsi="Times New Roman" w:cs="Times New Roman"/>
          <w:iCs/>
        </w:rPr>
        <w:t xml:space="preserve"> Sredstva su namijenjena za</w:t>
      </w:r>
      <w:r w:rsidR="00E30950">
        <w:rPr>
          <w:rFonts w:ascii="Times New Roman" w:hAnsi="Times New Roman" w:cs="Times New Roman"/>
          <w:iCs/>
        </w:rPr>
        <w:t xml:space="preserve"> </w:t>
      </w:r>
      <w:r w:rsidR="002F5960" w:rsidRPr="00E30950">
        <w:rPr>
          <w:rFonts w:ascii="Times New Roman" w:hAnsi="Times New Roman" w:cs="Times New Roman"/>
          <w:iCs/>
        </w:rPr>
        <w:t>financiranje Festivala kaskaderstva i Dana hrvatskog filma</w:t>
      </w:r>
      <w:r w:rsidR="0054298C">
        <w:rPr>
          <w:rFonts w:ascii="Times New Roman" w:hAnsi="Times New Roman" w:cs="Times New Roman"/>
          <w:iCs/>
        </w:rPr>
        <w:t xml:space="preserve"> i Ciklusa filmova</w:t>
      </w:r>
      <w:r w:rsidR="002F5960" w:rsidRPr="00E30950">
        <w:rPr>
          <w:rFonts w:ascii="Times New Roman" w:hAnsi="Times New Roman" w:cs="Times New Roman"/>
          <w:iCs/>
        </w:rPr>
        <w:t xml:space="preserve">. </w:t>
      </w:r>
    </w:p>
    <w:p w14:paraId="437B594E" w14:textId="77777777" w:rsidR="000A42F2" w:rsidRPr="00E30950" w:rsidRDefault="000A42F2" w:rsidP="00442F1D">
      <w:pPr>
        <w:spacing w:after="120" w:line="276" w:lineRule="auto"/>
        <w:ind w:left="405"/>
        <w:jc w:val="both"/>
        <w:rPr>
          <w:rFonts w:ascii="Times New Roman" w:hAnsi="Times New Roman" w:cs="Times New Roman"/>
          <w:iCs/>
        </w:rPr>
      </w:pPr>
    </w:p>
    <w:p w14:paraId="32B927F2" w14:textId="379586FC" w:rsidR="00EA100E" w:rsidRPr="00E30950" w:rsidRDefault="002F5960" w:rsidP="00442F1D">
      <w:pPr>
        <w:spacing w:after="120" w:line="276" w:lineRule="auto"/>
        <w:ind w:left="405"/>
        <w:jc w:val="both"/>
        <w:rPr>
          <w:rFonts w:ascii="Times New Roman" w:hAnsi="Times New Roman" w:cs="Times New Roman"/>
          <w:i/>
        </w:rPr>
      </w:pPr>
      <w:r w:rsidRPr="00E30950">
        <w:rPr>
          <w:rFonts w:ascii="Times New Roman" w:hAnsi="Times New Roman" w:cs="Times New Roman"/>
          <w:i/>
        </w:rPr>
        <w:t>65 -  Prihodi od upravnih i administrativnih pristojbi, pristojbi po posebnim propisima i naknada</w:t>
      </w:r>
    </w:p>
    <w:p w14:paraId="5B177A0F" w14:textId="73620051" w:rsidR="0054298C" w:rsidRDefault="0054298C" w:rsidP="00442F1D">
      <w:pPr>
        <w:spacing w:after="120" w:line="276" w:lineRule="auto"/>
        <w:ind w:left="405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Radi se o prihodima  ostvarenim iz g</w:t>
      </w:r>
      <w:r w:rsidRPr="00E30950">
        <w:rPr>
          <w:rFonts w:ascii="Times New Roman" w:hAnsi="Times New Roman" w:cs="Times New Roman"/>
          <w:iCs/>
        </w:rPr>
        <w:t>lavn</w:t>
      </w:r>
      <w:r>
        <w:rPr>
          <w:rFonts w:ascii="Times New Roman" w:hAnsi="Times New Roman" w:cs="Times New Roman"/>
          <w:iCs/>
        </w:rPr>
        <w:t>e</w:t>
      </w:r>
      <w:r w:rsidRPr="00E30950">
        <w:rPr>
          <w:rFonts w:ascii="Times New Roman" w:hAnsi="Times New Roman" w:cs="Times New Roman"/>
          <w:iCs/>
        </w:rPr>
        <w:t xml:space="preserve"> djelatnost</w:t>
      </w:r>
      <w:r>
        <w:rPr>
          <w:rFonts w:ascii="Times New Roman" w:hAnsi="Times New Roman" w:cs="Times New Roman"/>
          <w:iCs/>
        </w:rPr>
        <w:t>i</w:t>
      </w:r>
      <w:r w:rsidRPr="00E30950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>U</w:t>
      </w:r>
      <w:r w:rsidRPr="00E30950">
        <w:rPr>
          <w:rFonts w:ascii="Times New Roman" w:hAnsi="Times New Roman" w:cs="Times New Roman"/>
          <w:iCs/>
        </w:rPr>
        <w:t>stanove</w:t>
      </w:r>
      <w:r>
        <w:rPr>
          <w:rFonts w:ascii="Times New Roman" w:hAnsi="Times New Roman" w:cs="Times New Roman"/>
          <w:iCs/>
        </w:rPr>
        <w:t xml:space="preserve">, odnosno </w:t>
      </w:r>
      <w:r w:rsidRPr="00E30950">
        <w:rPr>
          <w:rFonts w:ascii="Times New Roman" w:hAnsi="Times New Roman" w:cs="Times New Roman"/>
          <w:iCs/>
        </w:rPr>
        <w:t>kinoprojekcij</w:t>
      </w:r>
      <w:r>
        <w:rPr>
          <w:rFonts w:ascii="Times New Roman" w:hAnsi="Times New Roman" w:cs="Times New Roman"/>
          <w:iCs/>
        </w:rPr>
        <w:t>a</w:t>
      </w:r>
      <w:r w:rsidRPr="00E30950">
        <w:rPr>
          <w:rFonts w:ascii="Times New Roman" w:hAnsi="Times New Roman" w:cs="Times New Roman"/>
          <w:iCs/>
        </w:rPr>
        <w:t xml:space="preserve"> te je od prodaje karata Ustanova oprihodovala ukupno </w:t>
      </w:r>
      <w:r>
        <w:rPr>
          <w:rFonts w:ascii="Times New Roman" w:hAnsi="Times New Roman" w:cs="Times New Roman"/>
          <w:iCs/>
        </w:rPr>
        <w:t>161.887,37</w:t>
      </w:r>
      <w:r w:rsidRPr="00E30950">
        <w:rPr>
          <w:rFonts w:ascii="Times New Roman" w:hAnsi="Times New Roman" w:cs="Times New Roman"/>
          <w:iCs/>
        </w:rPr>
        <w:t xml:space="preserve"> eur-a što je </w:t>
      </w:r>
      <w:r>
        <w:rPr>
          <w:rFonts w:ascii="Times New Roman" w:hAnsi="Times New Roman" w:cs="Times New Roman"/>
          <w:iCs/>
        </w:rPr>
        <w:t xml:space="preserve">95,23 </w:t>
      </w:r>
      <w:r w:rsidRPr="00E30950">
        <w:rPr>
          <w:rFonts w:ascii="Times New Roman" w:hAnsi="Times New Roman" w:cs="Times New Roman"/>
          <w:iCs/>
        </w:rPr>
        <w:t>% planiranog</w:t>
      </w:r>
    </w:p>
    <w:p w14:paraId="20A9E664" w14:textId="77777777" w:rsidR="00915553" w:rsidRDefault="00915553" w:rsidP="00442F1D">
      <w:pPr>
        <w:spacing w:after="120" w:line="276" w:lineRule="auto"/>
        <w:ind w:left="405"/>
        <w:jc w:val="both"/>
        <w:rPr>
          <w:rFonts w:ascii="Times New Roman" w:hAnsi="Times New Roman" w:cs="Times New Roman"/>
          <w:i/>
        </w:rPr>
      </w:pPr>
    </w:p>
    <w:p w14:paraId="0293E178" w14:textId="11B32548" w:rsidR="002F5960" w:rsidRPr="00E30950" w:rsidRDefault="00C04D5A" w:rsidP="00442F1D">
      <w:pPr>
        <w:spacing w:after="120" w:line="276" w:lineRule="auto"/>
        <w:ind w:left="405"/>
        <w:jc w:val="both"/>
        <w:rPr>
          <w:rFonts w:ascii="Times New Roman" w:hAnsi="Times New Roman" w:cs="Times New Roman"/>
          <w:i/>
        </w:rPr>
      </w:pPr>
      <w:r w:rsidRPr="00E30950">
        <w:rPr>
          <w:rFonts w:ascii="Times New Roman" w:hAnsi="Times New Roman" w:cs="Times New Roman"/>
          <w:i/>
        </w:rPr>
        <w:t>66 -  Prihodi od prodaje proizvoda i robe te pruženih usluga i prihodi od donacija</w:t>
      </w:r>
    </w:p>
    <w:p w14:paraId="6D75A9BE" w14:textId="68169454" w:rsidR="00337888" w:rsidRDefault="00337888" w:rsidP="00442F1D">
      <w:pPr>
        <w:spacing w:after="120" w:line="276" w:lineRule="auto"/>
        <w:ind w:left="405"/>
        <w:jc w:val="both"/>
        <w:rPr>
          <w:rFonts w:ascii="Times New Roman" w:hAnsi="Times New Roman" w:cs="Times New Roman"/>
          <w:iCs/>
        </w:rPr>
      </w:pPr>
      <w:r w:rsidRPr="00E30950">
        <w:rPr>
          <w:rFonts w:ascii="Times New Roman" w:hAnsi="Times New Roman" w:cs="Times New Roman"/>
          <w:iCs/>
        </w:rPr>
        <w:t xml:space="preserve">Ustanova </w:t>
      </w:r>
      <w:r>
        <w:rPr>
          <w:rFonts w:ascii="Times New Roman" w:hAnsi="Times New Roman" w:cs="Times New Roman"/>
          <w:iCs/>
        </w:rPr>
        <w:t xml:space="preserve">ima tri dvorane, dvije za kinoprojekcije i jedan multifunkcionalan prostor, koji </w:t>
      </w:r>
      <w:r w:rsidRPr="00E30950">
        <w:rPr>
          <w:rFonts w:ascii="Times New Roman" w:hAnsi="Times New Roman" w:cs="Times New Roman"/>
          <w:iCs/>
        </w:rPr>
        <w:t xml:space="preserve">iznajmljuje </w:t>
      </w:r>
      <w:r>
        <w:rPr>
          <w:rFonts w:ascii="Times New Roman" w:hAnsi="Times New Roman" w:cs="Times New Roman"/>
          <w:iCs/>
        </w:rPr>
        <w:t xml:space="preserve">te prostor u lobiju koji je u dugotrajnom najmu za obavljanje ugostiteljske djelatnosti, </w:t>
      </w:r>
      <w:r w:rsidRPr="00E30950">
        <w:rPr>
          <w:rFonts w:ascii="Times New Roman" w:hAnsi="Times New Roman" w:cs="Times New Roman"/>
          <w:iCs/>
        </w:rPr>
        <w:t xml:space="preserve">te je ostvarila ukupno </w:t>
      </w:r>
      <w:r>
        <w:rPr>
          <w:rFonts w:ascii="Times New Roman" w:hAnsi="Times New Roman" w:cs="Times New Roman"/>
          <w:iCs/>
        </w:rPr>
        <w:t>33.664,01</w:t>
      </w:r>
      <w:r w:rsidRPr="00E30950">
        <w:rPr>
          <w:rFonts w:ascii="Times New Roman" w:hAnsi="Times New Roman" w:cs="Times New Roman"/>
          <w:iCs/>
        </w:rPr>
        <w:t xml:space="preserve"> eur-a prihoda od najma</w:t>
      </w:r>
      <w:r>
        <w:rPr>
          <w:rFonts w:ascii="Times New Roman" w:hAnsi="Times New Roman" w:cs="Times New Roman"/>
          <w:iCs/>
        </w:rPr>
        <w:t xml:space="preserve"> prostora</w:t>
      </w:r>
      <w:r w:rsidRPr="00E30950">
        <w:rPr>
          <w:rFonts w:ascii="Times New Roman" w:hAnsi="Times New Roman" w:cs="Times New Roman"/>
          <w:iCs/>
        </w:rPr>
        <w:t xml:space="preserve">, a planirano je bilo </w:t>
      </w:r>
      <w:r>
        <w:rPr>
          <w:rFonts w:ascii="Times New Roman" w:hAnsi="Times New Roman" w:cs="Times New Roman"/>
          <w:iCs/>
        </w:rPr>
        <w:t>33</w:t>
      </w:r>
      <w:r w:rsidRPr="00E30950">
        <w:rPr>
          <w:rFonts w:ascii="Times New Roman" w:hAnsi="Times New Roman" w:cs="Times New Roman"/>
          <w:iCs/>
        </w:rPr>
        <w:t xml:space="preserve">.000,00 eur-a što </w:t>
      </w:r>
      <w:r>
        <w:rPr>
          <w:rFonts w:ascii="Times New Roman" w:hAnsi="Times New Roman" w:cs="Times New Roman"/>
          <w:iCs/>
        </w:rPr>
        <w:t>2,01</w:t>
      </w:r>
      <w:r w:rsidRPr="00E30950">
        <w:rPr>
          <w:rFonts w:ascii="Times New Roman" w:hAnsi="Times New Roman" w:cs="Times New Roman"/>
          <w:iCs/>
        </w:rPr>
        <w:t>% plana.</w:t>
      </w:r>
    </w:p>
    <w:p w14:paraId="3CF2E06A" w14:textId="77777777" w:rsidR="00915553" w:rsidRDefault="00915553" w:rsidP="00442F1D">
      <w:pPr>
        <w:spacing w:after="120" w:line="276" w:lineRule="auto"/>
        <w:ind w:left="405"/>
        <w:jc w:val="both"/>
        <w:rPr>
          <w:rFonts w:ascii="Times New Roman" w:hAnsi="Times New Roman" w:cs="Times New Roman"/>
          <w:i/>
        </w:rPr>
      </w:pPr>
    </w:p>
    <w:p w14:paraId="7A84337E" w14:textId="16BBC7F6" w:rsidR="00C04D5A" w:rsidRPr="00E30950" w:rsidRDefault="001402C0" w:rsidP="00442F1D">
      <w:pPr>
        <w:spacing w:after="120" w:line="276" w:lineRule="auto"/>
        <w:ind w:left="405"/>
        <w:jc w:val="both"/>
        <w:rPr>
          <w:rFonts w:ascii="Times New Roman" w:hAnsi="Times New Roman" w:cs="Times New Roman"/>
          <w:i/>
        </w:rPr>
      </w:pPr>
      <w:r w:rsidRPr="00E30950">
        <w:rPr>
          <w:rFonts w:ascii="Times New Roman" w:hAnsi="Times New Roman" w:cs="Times New Roman"/>
          <w:i/>
        </w:rPr>
        <w:t xml:space="preserve">67 - </w:t>
      </w:r>
      <w:r w:rsidR="00C04D5A" w:rsidRPr="00E30950">
        <w:rPr>
          <w:rFonts w:ascii="Times New Roman" w:hAnsi="Times New Roman" w:cs="Times New Roman"/>
          <w:i/>
        </w:rPr>
        <w:t xml:space="preserve"> </w:t>
      </w:r>
      <w:r w:rsidRPr="00E30950">
        <w:rPr>
          <w:rFonts w:ascii="Times New Roman" w:hAnsi="Times New Roman" w:cs="Times New Roman"/>
          <w:i/>
        </w:rPr>
        <w:t>Prihodi iz nadležnog proračuna i od HZZO-a temeljem ugovornih obveza</w:t>
      </w:r>
    </w:p>
    <w:p w14:paraId="5920614C" w14:textId="209BF160" w:rsidR="001402C0" w:rsidRPr="00E30950" w:rsidRDefault="001402C0" w:rsidP="00442F1D">
      <w:pPr>
        <w:spacing w:after="120" w:line="276" w:lineRule="auto"/>
        <w:ind w:left="405"/>
        <w:jc w:val="both"/>
        <w:rPr>
          <w:rFonts w:ascii="Times New Roman" w:hAnsi="Times New Roman" w:cs="Times New Roman"/>
          <w:iCs/>
        </w:rPr>
      </w:pPr>
      <w:r w:rsidRPr="00E30950">
        <w:rPr>
          <w:rFonts w:ascii="Times New Roman" w:hAnsi="Times New Roman" w:cs="Times New Roman"/>
          <w:iCs/>
        </w:rPr>
        <w:t>U 202</w:t>
      </w:r>
      <w:r w:rsidR="00337888">
        <w:rPr>
          <w:rFonts w:ascii="Times New Roman" w:hAnsi="Times New Roman" w:cs="Times New Roman"/>
          <w:iCs/>
        </w:rPr>
        <w:t>5</w:t>
      </w:r>
      <w:r w:rsidRPr="00E30950">
        <w:rPr>
          <w:rFonts w:ascii="Times New Roman" w:hAnsi="Times New Roman" w:cs="Times New Roman"/>
          <w:iCs/>
        </w:rPr>
        <w:t xml:space="preserve">. godini iz proračuna je plaćeno ukupno </w:t>
      </w:r>
      <w:r w:rsidR="00337888">
        <w:rPr>
          <w:rFonts w:ascii="Times New Roman" w:hAnsi="Times New Roman" w:cs="Times New Roman"/>
          <w:iCs/>
        </w:rPr>
        <w:t>412.248,36</w:t>
      </w:r>
      <w:r w:rsidRPr="00E30950">
        <w:rPr>
          <w:rFonts w:ascii="Times New Roman" w:hAnsi="Times New Roman" w:cs="Times New Roman"/>
          <w:iCs/>
        </w:rPr>
        <w:t xml:space="preserve"> eur-a odnosno </w:t>
      </w:r>
      <w:r w:rsidR="00337888">
        <w:rPr>
          <w:rFonts w:ascii="Times New Roman" w:hAnsi="Times New Roman" w:cs="Times New Roman"/>
          <w:iCs/>
        </w:rPr>
        <w:t>72,22</w:t>
      </w:r>
      <w:r w:rsidR="00C14453">
        <w:rPr>
          <w:rFonts w:ascii="Times New Roman" w:hAnsi="Times New Roman" w:cs="Times New Roman"/>
          <w:iCs/>
        </w:rPr>
        <w:t xml:space="preserve"> </w:t>
      </w:r>
      <w:r w:rsidRPr="00E30950">
        <w:rPr>
          <w:rFonts w:ascii="Times New Roman" w:hAnsi="Times New Roman" w:cs="Times New Roman"/>
          <w:iCs/>
        </w:rPr>
        <w:t>% plana. Sredstvima proračuna financirani su troškovi plaća zaposlenika, dio materijalnih i programskih troškova.</w:t>
      </w:r>
    </w:p>
    <w:p w14:paraId="4D6DBFAE" w14:textId="33D0D211" w:rsidR="008979EC" w:rsidRPr="00E30950" w:rsidRDefault="008979EC" w:rsidP="00442F1D">
      <w:pPr>
        <w:spacing w:after="120" w:line="276" w:lineRule="auto"/>
        <w:ind w:left="405"/>
        <w:jc w:val="both"/>
        <w:rPr>
          <w:rFonts w:ascii="Times New Roman" w:hAnsi="Times New Roman" w:cs="Times New Roman"/>
          <w:iCs/>
        </w:rPr>
      </w:pPr>
      <w:r w:rsidRPr="00E30950">
        <w:rPr>
          <w:rFonts w:ascii="Times New Roman" w:hAnsi="Times New Roman" w:cs="Times New Roman"/>
          <w:iCs/>
        </w:rPr>
        <w:t>Usporedba planiranih i realiziranih prihoda dana je u sljedećem grafikonu:</w:t>
      </w:r>
    </w:p>
    <w:p w14:paraId="1017FDA2" w14:textId="77777777" w:rsidR="00442F1D" w:rsidRDefault="00442F1D" w:rsidP="00442F1D">
      <w:pPr>
        <w:spacing w:after="120" w:line="276" w:lineRule="auto"/>
        <w:ind w:left="405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0FAA860C" w14:textId="77777777" w:rsidR="00442F1D" w:rsidRDefault="00442F1D" w:rsidP="00442F1D">
      <w:pPr>
        <w:spacing w:after="120" w:line="276" w:lineRule="auto"/>
        <w:ind w:left="405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4047B17F" w14:textId="77777777" w:rsidR="00442F1D" w:rsidRDefault="00442F1D" w:rsidP="00442F1D">
      <w:pPr>
        <w:spacing w:after="120" w:line="276" w:lineRule="auto"/>
        <w:ind w:left="405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23413FBB" w14:textId="77777777" w:rsidR="00442F1D" w:rsidRDefault="00442F1D" w:rsidP="00442F1D">
      <w:pPr>
        <w:spacing w:after="120" w:line="276" w:lineRule="auto"/>
        <w:ind w:left="405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63DDA07C" w14:textId="19711BB9" w:rsidR="00EA100E" w:rsidRPr="000C7BE3" w:rsidRDefault="001402C0" w:rsidP="00442F1D">
      <w:pPr>
        <w:spacing w:after="120" w:line="276" w:lineRule="auto"/>
        <w:ind w:left="405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0C7BE3">
        <w:rPr>
          <w:rFonts w:ascii="Times New Roman" w:hAnsi="Times New Roman" w:cs="Times New Roman"/>
          <w:iCs/>
          <w:noProof/>
          <w:sz w:val="20"/>
          <w:szCs w:val="20"/>
        </w:rPr>
        <w:drawing>
          <wp:inline distT="0" distB="0" distL="0" distR="0" wp14:anchorId="30174A96" wp14:editId="5B725B75">
            <wp:extent cx="4972050" cy="1333500"/>
            <wp:effectExtent l="0" t="0" r="0" b="0"/>
            <wp:docPr id="1933876119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EAAF3D1" w14:textId="77777777" w:rsidR="00D15FB0" w:rsidRPr="00771650" w:rsidRDefault="00D15FB0" w:rsidP="00442F1D">
      <w:pPr>
        <w:spacing w:after="120" w:line="276" w:lineRule="auto"/>
        <w:ind w:left="405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6CBEF97" w14:textId="6F60909C" w:rsidR="00DB5482" w:rsidRPr="001617C1" w:rsidRDefault="00DB5482" w:rsidP="00442F1D">
      <w:pPr>
        <w:pStyle w:val="ListParagraph"/>
        <w:numPr>
          <w:ilvl w:val="0"/>
          <w:numId w:val="9"/>
        </w:numPr>
        <w:spacing w:after="120" w:line="276" w:lineRule="auto"/>
        <w:jc w:val="both"/>
        <w:rPr>
          <w:rFonts w:ascii="Times New Roman" w:hAnsi="Times New Roman" w:cs="Times New Roman"/>
          <w:b/>
          <w:bCs/>
          <w:iCs/>
        </w:rPr>
      </w:pPr>
      <w:r w:rsidRPr="001617C1">
        <w:rPr>
          <w:rFonts w:ascii="Times New Roman" w:hAnsi="Times New Roman" w:cs="Times New Roman"/>
          <w:b/>
          <w:bCs/>
          <w:iCs/>
        </w:rPr>
        <w:t>R</w:t>
      </w:r>
      <w:r w:rsidR="008979EC" w:rsidRPr="001617C1">
        <w:rPr>
          <w:rFonts w:ascii="Times New Roman" w:hAnsi="Times New Roman" w:cs="Times New Roman"/>
          <w:b/>
          <w:bCs/>
          <w:iCs/>
        </w:rPr>
        <w:t>ashodi</w:t>
      </w:r>
    </w:p>
    <w:p w14:paraId="13B662C0" w14:textId="034C1597" w:rsidR="009D6F11" w:rsidRPr="00E30950" w:rsidRDefault="009D6F11" w:rsidP="00442F1D">
      <w:pPr>
        <w:spacing w:after="120" w:line="276" w:lineRule="auto"/>
        <w:ind w:left="405"/>
        <w:jc w:val="both"/>
        <w:rPr>
          <w:rFonts w:ascii="Times New Roman" w:hAnsi="Times New Roman" w:cs="Times New Roman"/>
          <w:iCs/>
        </w:rPr>
      </w:pPr>
      <w:r w:rsidRPr="00E30950">
        <w:rPr>
          <w:rFonts w:ascii="Times New Roman" w:hAnsi="Times New Roman" w:cs="Times New Roman"/>
          <w:iCs/>
        </w:rPr>
        <w:t>Ukupni rashodi ostvareni u 202</w:t>
      </w:r>
      <w:r w:rsidR="00337888">
        <w:rPr>
          <w:rFonts w:ascii="Times New Roman" w:hAnsi="Times New Roman" w:cs="Times New Roman"/>
          <w:iCs/>
        </w:rPr>
        <w:t>5</w:t>
      </w:r>
      <w:r w:rsidRPr="00E30950">
        <w:rPr>
          <w:rFonts w:ascii="Times New Roman" w:hAnsi="Times New Roman" w:cs="Times New Roman"/>
          <w:iCs/>
        </w:rPr>
        <w:t xml:space="preserve">. godini iznose </w:t>
      </w:r>
      <w:r w:rsidR="00337888">
        <w:rPr>
          <w:rFonts w:ascii="Times New Roman" w:hAnsi="Times New Roman" w:cs="Times New Roman"/>
          <w:iCs/>
        </w:rPr>
        <w:t>701.020,70</w:t>
      </w:r>
      <w:r w:rsidR="002D4DEA" w:rsidRPr="00E30950">
        <w:rPr>
          <w:rFonts w:ascii="Times New Roman" w:hAnsi="Times New Roman" w:cs="Times New Roman"/>
          <w:iCs/>
        </w:rPr>
        <w:t xml:space="preserve"> eur-a</w:t>
      </w:r>
      <w:r w:rsidR="00E3372A">
        <w:rPr>
          <w:rFonts w:ascii="Times New Roman" w:hAnsi="Times New Roman" w:cs="Times New Roman"/>
          <w:iCs/>
        </w:rPr>
        <w:t xml:space="preserve"> i čine 73,</w:t>
      </w:r>
      <w:r w:rsidR="00A6148E">
        <w:rPr>
          <w:rFonts w:ascii="Times New Roman" w:hAnsi="Times New Roman" w:cs="Times New Roman"/>
          <w:iCs/>
        </w:rPr>
        <w:t>8</w:t>
      </w:r>
      <w:r w:rsidR="00E3372A">
        <w:rPr>
          <w:rFonts w:ascii="Times New Roman" w:hAnsi="Times New Roman" w:cs="Times New Roman"/>
          <w:iCs/>
        </w:rPr>
        <w:t>2% plana.</w:t>
      </w:r>
    </w:p>
    <w:p w14:paraId="6A5AED28" w14:textId="02509D0C" w:rsidR="002D4DEA" w:rsidRPr="00E30950" w:rsidRDefault="002D4DEA" w:rsidP="00442F1D">
      <w:pPr>
        <w:spacing w:after="120" w:line="276" w:lineRule="auto"/>
        <w:ind w:left="405"/>
        <w:jc w:val="both"/>
        <w:rPr>
          <w:rFonts w:ascii="Times New Roman" w:hAnsi="Times New Roman" w:cs="Times New Roman"/>
          <w:iCs/>
        </w:rPr>
      </w:pPr>
      <w:r w:rsidRPr="00E30950">
        <w:rPr>
          <w:rFonts w:ascii="Times New Roman" w:hAnsi="Times New Roman" w:cs="Times New Roman"/>
          <w:iCs/>
        </w:rPr>
        <w:t xml:space="preserve">Rashodi </w:t>
      </w:r>
      <w:r w:rsidR="00DB5482" w:rsidRPr="00E30950">
        <w:rPr>
          <w:rFonts w:ascii="Times New Roman" w:hAnsi="Times New Roman" w:cs="Times New Roman"/>
          <w:iCs/>
        </w:rPr>
        <w:t>obuhvaćaju</w:t>
      </w:r>
      <w:r w:rsidRPr="00E30950">
        <w:rPr>
          <w:rFonts w:ascii="Times New Roman" w:hAnsi="Times New Roman" w:cs="Times New Roman"/>
          <w:iCs/>
        </w:rPr>
        <w:t xml:space="preserve"> dvije osnovne kategorije:</w:t>
      </w:r>
    </w:p>
    <w:p w14:paraId="272EE159" w14:textId="35376313" w:rsidR="002D4DEA" w:rsidRPr="00E30950" w:rsidRDefault="002D4DEA" w:rsidP="00442F1D">
      <w:pPr>
        <w:spacing w:after="120" w:line="276" w:lineRule="auto"/>
        <w:ind w:left="405"/>
        <w:jc w:val="both"/>
        <w:rPr>
          <w:rFonts w:ascii="Times New Roman" w:hAnsi="Times New Roman" w:cs="Times New Roman"/>
          <w:iCs/>
        </w:rPr>
      </w:pPr>
      <w:r w:rsidRPr="00E30950">
        <w:rPr>
          <w:rFonts w:ascii="Times New Roman" w:hAnsi="Times New Roman" w:cs="Times New Roman"/>
          <w:iCs/>
        </w:rPr>
        <w:t>1. Rashodi poslovanja</w:t>
      </w:r>
      <w:r w:rsidR="00DB5482" w:rsidRPr="00E30950">
        <w:rPr>
          <w:rFonts w:ascii="Times New Roman" w:hAnsi="Times New Roman" w:cs="Times New Roman"/>
          <w:iCs/>
        </w:rPr>
        <w:t xml:space="preserve"> – razred 3</w:t>
      </w:r>
    </w:p>
    <w:p w14:paraId="432F1434" w14:textId="449718AC" w:rsidR="00915553" w:rsidRDefault="002D4DEA" w:rsidP="00442F1D">
      <w:pPr>
        <w:spacing w:after="120" w:line="276" w:lineRule="auto"/>
        <w:ind w:left="405"/>
        <w:jc w:val="both"/>
        <w:rPr>
          <w:rFonts w:ascii="Times New Roman" w:hAnsi="Times New Roman" w:cs="Times New Roman"/>
          <w:sz w:val="20"/>
          <w:szCs w:val="20"/>
        </w:rPr>
      </w:pPr>
      <w:r w:rsidRPr="00E30950">
        <w:rPr>
          <w:rFonts w:ascii="Times New Roman" w:hAnsi="Times New Roman" w:cs="Times New Roman"/>
          <w:iCs/>
        </w:rPr>
        <w:t>2. Rashodi za nabavku nefinancijske imovine</w:t>
      </w:r>
      <w:r w:rsidR="00DB5482" w:rsidRPr="00E30950">
        <w:rPr>
          <w:rFonts w:ascii="Times New Roman" w:hAnsi="Times New Roman" w:cs="Times New Roman"/>
          <w:iCs/>
        </w:rPr>
        <w:t xml:space="preserve"> – razred 4</w:t>
      </w:r>
    </w:p>
    <w:p w14:paraId="2B2848CA" w14:textId="11D2769B" w:rsidR="006C453C" w:rsidRDefault="00A6148E" w:rsidP="00FB1868">
      <w:pPr>
        <w:tabs>
          <w:tab w:val="left" w:pos="1720"/>
        </w:tabs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6148E">
        <w:rPr>
          <w:noProof/>
        </w:rPr>
        <w:drawing>
          <wp:inline distT="0" distB="0" distL="0" distR="0" wp14:anchorId="5E95BC4E" wp14:editId="3E1BBBB2">
            <wp:extent cx="5499717" cy="4496354"/>
            <wp:effectExtent l="0" t="0" r="6350" b="0"/>
            <wp:docPr id="157254722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775" cy="450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D2015" w14:textId="6A46CDA1" w:rsidR="006C453C" w:rsidRDefault="006C453C" w:rsidP="00442F1D">
      <w:pPr>
        <w:tabs>
          <w:tab w:val="left" w:pos="1720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0B43ED7E" w14:textId="77777777" w:rsidR="00FB1868" w:rsidRDefault="00FB1868" w:rsidP="00442F1D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</w:rPr>
      </w:pPr>
    </w:p>
    <w:p w14:paraId="40988639" w14:textId="49A648CE" w:rsidR="00DB5482" w:rsidRPr="00E30950" w:rsidRDefault="00DB5482" w:rsidP="00442F1D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</w:rPr>
      </w:pPr>
      <w:r w:rsidRPr="00E30950">
        <w:rPr>
          <w:rFonts w:ascii="Times New Roman" w:hAnsi="Times New Roman" w:cs="Times New Roman"/>
          <w:bCs/>
          <w:i/>
          <w:iCs/>
        </w:rPr>
        <w:t xml:space="preserve">31 - </w:t>
      </w:r>
      <w:r w:rsidR="00F53A63" w:rsidRPr="00E30950">
        <w:rPr>
          <w:rFonts w:ascii="Times New Roman" w:hAnsi="Times New Roman" w:cs="Times New Roman"/>
          <w:bCs/>
          <w:i/>
          <w:iCs/>
        </w:rPr>
        <w:t xml:space="preserve">Rashodi za zaposlene </w:t>
      </w:r>
    </w:p>
    <w:p w14:paraId="3B9A474C" w14:textId="2C4831C8" w:rsidR="00F53A63" w:rsidRDefault="00D311FF" w:rsidP="00442F1D">
      <w:pPr>
        <w:spacing w:after="120" w:line="276" w:lineRule="auto"/>
        <w:jc w:val="both"/>
        <w:rPr>
          <w:rFonts w:ascii="Times New Roman" w:hAnsi="Times New Roman" w:cs="Times New Roman"/>
          <w:bCs/>
        </w:rPr>
      </w:pPr>
      <w:r w:rsidRPr="00E30950">
        <w:rPr>
          <w:rFonts w:ascii="Times New Roman" w:hAnsi="Times New Roman" w:cs="Times New Roman"/>
          <w:bCs/>
        </w:rPr>
        <w:t>Rashodi za zaposlene obuhvaćaju plaće zaposlenih (bruto i doprinosi) i ostale naknade prema Kolektivnom ugovoru kojim su regulirana prava zaposlenika pa tu ulaze troškovi regresa, božićnice, uskrsnice,</w:t>
      </w:r>
      <w:r w:rsidR="008F4CD4">
        <w:rPr>
          <w:rFonts w:ascii="Times New Roman" w:hAnsi="Times New Roman" w:cs="Times New Roman"/>
          <w:bCs/>
        </w:rPr>
        <w:t xml:space="preserve"> </w:t>
      </w:r>
      <w:r w:rsidRPr="00E30950">
        <w:rPr>
          <w:rFonts w:ascii="Times New Roman" w:hAnsi="Times New Roman" w:cs="Times New Roman"/>
          <w:bCs/>
        </w:rPr>
        <w:t xml:space="preserve">dar djeci, prehrane i  nagrade. Rashodi za zaposlene iznose </w:t>
      </w:r>
      <w:r w:rsidR="00A6148E">
        <w:rPr>
          <w:rFonts w:ascii="Times New Roman" w:hAnsi="Times New Roman" w:cs="Times New Roman"/>
          <w:bCs/>
        </w:rPr>
        <w:t>353.090,42</w:t>
      </w:r>
      <w:r w:rsidRPr="00E30950">
        <w:rPr>
          <w:rFonts w:ascii="Times New Roman" w:hAnsi="Times New Roman" w:cs="Times New Roman"/>
          <w:bCs/>
        </w:rPr>
        <w:t xml:space="preserve"> eur-a i </w:t>
      </w:r>
      <w:r w:rsidR="00E3372A">
        <w:rPr>
          <w:rFonts w:ascii="Times New Roman" w:hAnsi="Times New Roman" w:cs="Times New Roman"/>
          <w:bCs/>
        </w:rPr>
        <w:t xml:space="preserve">čine </w:t>
      </w:r>
      <w:r w:rsidR="00A6148E">
        <w:rPr>
          <w:rFonts w:ascii="Times New Roman" w:hAnsi="Times New Roman" w:cs="Times New Roman"/>
          <w:bCs/>
        </w:rPr>
        <w:t>82,58</w:t>
      </w:r>
      <w:r w:rsidRPr="00E30950">
        <w:rPr>
          <w:rFonts w:ascii="Times New Roman" w:hAnsi="Times New Roman" w:cs="Times New Roman"/>
          <w:bCs/>
        </w:rPr>
        <w:t>% planiranih</w:t>
      </w:r>
      <w:r w:rsidR="00A6148E">
        <w:rPr>
          <w:rFonts w:ascii="Times New Roman" w:hAnsi="Times New Roman" w:cs="Times New Roman"/>
          <w:bCs/>
        </w:rPr>
        <w:t xml:space="preserve">, a veći su za 54,32% od rashoda za zaposlenu u 2024. godini.  Razlog tome je u primjeni novog Pravilnika o proračunskom računovodstvu </w:t>
      </w:r>
      <w:r w:rsidR="00867326">
        <w:rPr>
          <w:rFonts w:ascii="Times New Roman" w:hAnsi="Times New Roman" w:cs="Times New Roman"/>
          <w:bCs/>
        </w:rPr>
        <w:t xml:space="preserve">i </w:t>
      </w:r>
      <w:r w:rsidR="00A6148E">
        <w:rPr>
          <w:rFonts w:ascii="Times New Roman" w:hAnsi="Times New Roman" w:cs="Times New Roman"/>
          <w:bCs/>
        </w:rPr>
        <w:t>računskom planu koji je u primjeni od 01.01.2025. godine te je iznimno u 2025. godini evidentiran trošak 13 plaća</w:t>
      </w:r>
      <w:r w:rsidRPr="00E30950">
        <w:rPr>
          <w:rFonts w:ascii="Times New Roman" w:hAnsi="Times New Roman" w:cs="Times New Roman"/>
          <w:bCs/>
        </w:rPr>
        <w:t xml:space="preserve">. </w:t>
      </w:r>
      <w:r w:rsidR="00F53A63" w:rsidRPr="00E30950">
        <w:rPr>
          <w:rFonts w:ascii="Times New Roman" w:hAnsi="Times New Roman" w:cs="Times New Roman"/>
          <w:bCs/>
        </w:rPr>
        <w:t xml:space="preserve"> </w:t>
      </w:r>
    </w:p>
    <w:p w14:paraId="1F98F2C6" w14:textId="77777777" w:rsidR="00FB1868" w:rsidRPr="00E30950" w:rsidRDefault="00FB1868" w:rsidP="00442F1D">
      <w:pPr>
        <w:spacing w:after="120" w:line="276" w:lineRule="auto"/>
        <w:jc w:val="both"/>
        <w:rPr>
          <w:rFonts w:ascii="Times New Roman" w:hAnsi="Times New Roman" w:cs="Times New Roman"/>
          <w:bCs/>
        </w:rPr>
      </w:pPr>
    </w:p>
    <w:p w14:paraId="678CEA00" w14:textId="596E20C0" w:rsidR="00F53A63" w:rsidRPr="00E30950" w:rsidRDefault="00D311FF" w:rsidP="00442F1D">
      <w:pPr>
        <w:spacing w:after="120" w:line="276" w:lineRule="auto"/>
        <w:jc w:val="both"/>
        <w:rPr>
          <w:rFonts w:ascii="Times New Roman" w:hAnsi="Times New Roman" w:cs="Times New Roman"/>
          <w:i/>
          <w:iCs/>
        </w:rPr>
      </w:pPr>
      <w:r w:rsidRPr="00E30950">
        <w:rPr>
          <w:rFonts w:ascii="Times New Roman" w:hAnsi="Times New Roman" w:cs="Times New Roman"/>
          <w:i/>
          <w:iCs/>
        </w:rPr>
        <w:t>32 – Materijalni rashodi</w:t>
      </w:r>
    </w:p>
    <w:p w14:paraId="13F65ABB" w14:textId="1E593906" w:rsidR="00D311FF" w:rsidRDefault="00D311FF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E30950">
        <w:rPr>
          <w:rFonts w:ascii="Times New Roman" w:hAnsi="Times New Roman" w:cs="Times New Roman"/>
        </w:rPr>
        <w:t xml:space="preserve">Materijalni rashodi iznose </w:t>
      </w:r>
      <w:r w:rsidR="00A6148E">
        <w:rPr>
          <w:rFonts w:ascii="Times New Roman" w:hAnsi="Times New Roman" w:cs="Times New Roman"/>
        </w:rPr>
        <w:t>344.057,89</w:t>
      </w:r>
      <w:r w:rsidRPr="00E30950">
        <w:rPr>
          <w:rFonts w:ascii="Times New Roman" w:hAnsi="Times New Roman" w:cs="Times New Roman"/>
        </w:rPr>
        <w:t xml:space="preserve"> eur-a što je </w:t>
      </w:r>
      <w:r w:rsidR="00A6148E">
        <w:rPr>
          <w:rFonts w:ascii="Times New Roman" w:hAnsi="Times New Roman" w:cs="Times New Roman"/>
        </w:rPr>
        <w:t>68,31</w:t>
      </w:r>
      <w:r w:rsidRPr="00E30950">
        <w:rPr>
          <w:rFonts w:ascii="Times New Roman" w:hAnsi="Times New Roman" w:cs="Times New Roman"/>
        </w:rPr>
        <w:t xml:space="preserve"> % planiranog</w:t>
      </w:r>
      <w:r w:rsidR="00A6148E">
        <w:rPr>
          <w:rFonts w:ascii="Times New Roman" w:hAnsi="Times New Roman" w:cs="Times New Roman"/>
        </w:rPr>
        <w:t>, odnosno radi se o porasti od 12,77% u odnosu na 2024. godinu.</w:t>
      </w:r>
      <w:r w:rsidRPr="00E30950">
        <w:rPr>
          <w:rFonts w:ascii="Times New Roman" w:hAnsi="Times New Roman" w:cs="Times New Roman"/>
        </w:rPr>
        <w:t xml:space="preserve"> Radi se o rashodima za električnu energiju i ostale režijske troškove, sredstva za čišćenje, uredski materijal, sitan inventar, održavanje, usluge čišćenja, usluge promidžbe, tiska, osiguranja, naknade upravnom vijeći</w:t>
      </w:r>
      <w:r w:rsidR="00BC3931" w:rsidRPr="00E30950">
        <w:rPr>
          <w:rFonts w:ascii="Times New Roman" w:hAnsi="Times New Roman" w:cs="Times New Roman"/>
        </w:rPr>
        <w:t>, nabavu filmova, autorskih honorara, student servisa, usluga odvjetnika</w:t>
      </w:r>
      <w:r w:rsidRPr="00E30950">
        <w:rPr>
          <w:rFonts w:ascii="Times New Roman" w:hAnsi="Times New Roman" w:cs="Times New Roman"/>
        </w:rPr>
        <w:t xml:space="preserve"> i sl.</w:t>
      </w:r>
      <w:r w:rsidR="00867326">
        <w:rPr>
          <w:rFonts w:ascii="Times New Roman" w:hAnsi="Times New Roman" w:cs="Times New Roman"/>
        </w:rPr>
        <w:t xml:space="preserve"> Do značajnijeg porasta troškova, promatrajući u apsolutnim iznosima, je došlo kod troškova električne energije, održavanja, sitnog inventara i ostalih usluga (troškovi distributera</w:t>
      </w:r>
      <w:r w:rsidR="0002684B">
        <w:rPr>
          <w:rFonts w:ascii="Times New Roman" w:hAnsi="Times New Roman" w:cs="Times New Roman"/>
        </w:rPr>
        <w:t xml:space="preserve"> i programski troškovi</w:t>
      </w:r>
      <w:r w:rsidR="00867326">
        <w:rPr>
          <w:rFonts w:ascii="Times New Roman" w:hAnsi="Times New Roman" w:cs="Times New Roman"/>
        </w:rPr>
        <w:t>)</w:t>
      </w:r>
      <w:r w:rsidR="0002684B">
        <w:rPr>
          <w:rFonts w:ascii="Times New Roman" w:hAnsi="Times New Roman" w:cs="Times New Roman"/>
        </w:rPr>
        <w:t>.</w:t>
      </w:r>
      <w:r w:rsidR="00867326">
        <w:rPr>
          <w:rFonts w:ascii="Times New Roman" w:hAnsi="Times New Roman" w:cs="Times New Roman"/>
        </w:rPr>
        <w:t xml:space="preserve"> </w:t>
      </w:r>
    </w:p>
    <w:p w14:paraId="266F9CE3" w14:textId="77777777" w:rsidR="008F4CD4" w:rsidRPr="00E30950" w:rsidRDefault="008F4CD4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43D1FAE0" w14:textId="2A9C9A59" w:rsidR="00D311FF" w:rsidRPr="00E30950" w:rsidRDefault="00BC3931" w:rsidP="00442F1D">
      <w:pPr>
        <w:spacing w:after="120" w:line="276" w:lineRule="auto"/>
        <w:jc w:val="both"/>
        <w:rPr>
          <w:rFonts w:ascii="Times New Roman" w:hAnsi="Times New Roman" w:cs="Times New Roman"/>
          <w:i/>
          <w:iCs/>
        </w:rPr>
      </w:pPr>
      <w:r w:rsidRPr="00E30950">
        <w:rPr>
          <w:rFonts w:ascii="Times New Roman" w:hAnsi="Times New Roman" w:cs="Times New Roman"/>
          <w:i/>
          <w:iCs/>
        </w:rPr>
        <w:t>42</w:t>
      </w:r>
      <w:r w:rsidR="00D311FF" w:rsidRPr="00E30950">
        <w:rPr>
          <w:rFonts w:ascii="Times New Roman" w:hAnsi="Times New Roman" w:cs="Times New Roman"/>
          <w:i/>
          <w:iCs/>
        </w:rPr>
        <w:t xml:space="preserve"> -  </w:t>
      </w:r>
      <w:r w:rsidRPr="00E30950">
        <w:rPr>
          <w:rFonts w:ascii="Times New Roman" w:hAnsi="Times New Roman" w:cs="Times New Roman"/>
          <w:i/>
          <w:iCs/>
        </w:rPr>
        <w:t>Rashodi za nabavu nefinancijske imovine</w:t>
      </w:r>
    </w:p>
    <w:p w14:paraId="058925C0" w14:textId="2965829C" w:rsidR="00BC3931" w:rsidRPr="000C7BE3" w:rsidRDefault="00BC3931" w:rsidP="00442F1D">
      <w:pPr>
        <w:spacing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0950">
        <w:rPr>
          <w:rFonts w:ascii="Times New Roman" w:hAnsi="Times New Roman" w:cs="Times New Roman"/>
        </w:rPr>
        <w:t xml:space="preserve">Nabavljeno je opreme u iznosu </w:t>
      </w:r>
      <w:r w:rsidR="00A6148E">
        <w:rPr>
          <w:rFonts w:ascii="Times New Roman" w:hAnsi="Times New Roman" w:cs="Times New Roman"/>
        </w:rPr>
        <w:t>3.870,39</w:t>
      </w:r>
      <w:r w:rsidRPr="00E30950">
        <w:rPr>
          <w:rFonts w:ascii="Times New Roman" w:hAnsi="Times New Roman" w:cs="Times New Roman"/>
        </w:rPr>
        <w:t xml:space="preserve"> eur- a što je svega </w:t>
      </w:r>
      <w:r w:rsidR="00A6148E">
        <w:rPr>
          <w:rFonts w:ascii="Times New Roman" w:hAnsi="Times New Roman" w:cs="Times New Roman"/>
        </w:rPr>
        <w:t>21,50</w:t>
      </w:r>
      <w:r w:rsidRPr="00E30950">
        <w:rPr>
          <w:rFonts w:ascii="Times New Roman" w:hAnsi="Times New Roman" w:cs="Times New Roman"/>
        </w:rPr>
        <w:t xml:space="preserve">% planiranih. </w:t>
      </w:r>
      <w:r w:rsidR="000C1F07">
        <w:rPr>
          <w:rFonts w:ascii="Times New Roman" w:hAnsi="Times New Roman" w:cs="Times New Roman"/>
        </w:rPr>
        <w:t xml:space="preserve">Nabavljen je </w:t>
      </w:r>
      <w:r w:rsidR="00A6148E">
        <w:rPr>
          <w:rFonts w:ascii="Times New Roman" w:hAnsi="Times New Roman" w:cs="Times New Roman"/>
        </w:rPr>
        <w:t xml:space="preserve">defibrilator, laptop te profesionali usisavač. </w:t>
      </w:r>
      <w:r w:rsidRPr="00E30950">
        <w:rPr>
          <w:rFonts w:ascii="Times New Roman" w:hAnsi="Times New Roman" w:cs="Times New Roman"/>
        </w:rPr>
        <w:t>Nije realizira</w:t>
      </w:r>
      <w:r w:rsidR="0002684B">
        <w:rPr>
          <w:rFonts w:ascii="Times New Roman" w:hAnsi="Times New Roman" w:cs="Times New Roman"/>
        </w:rPr>
        <w:t>n</w:t>
      </w:r>
      <w:r w:rsidRPr="00E30950">
        <w:rPr>
          <w:rFonts w:ascii="Times New Roman" w:hAnsi="Times New Roman" w:cs="Times New Roman"/>
        </w:rPr>
        <w:t>a nabava i postava parking-rampe</w:t>
      </w:r>
      <w:r w:rsidR="00A6148E">
        <w:rPr>
          <w:rFonts w:ascii="Times New Roman" w:hAnsi="Times New Roman" w:cs="Times New Roman"/>
        </w:rPr>
        <w:t>, uredskih ormara</w:t>
      </w:r>
      <w:r w:rsidRPr="00E30950">
        <w:rPr>
          <w:rFonts w:ascii="Times New Roman" w:hAnsi="Times New Roman" w:cs="Times New Roman"/>
        </w:rPr>
        <w:t xml:space="preserve"> </w:t>
      </w:r>
      <w:r w:rsidR="0002684B">
        <w:rPr>
          <w:rFonts w:ascii="Times New Roman" w:hAnsi="Times New Roman" w:cs="Times New Roman"/>
        </w:rPr>
        <w:t>i</w:t>
      </w:r>
      <w:r w:rsidRPr="00E30950">
        <w:rPr>
          <w:rFonts w:ascii="Times New Roman" w:hAnsi="Times New Roman" w:cs="Times New Roman"/>
        </w:rPr>
        <w:t xml:space="preserve"> </w:t>
      </w:r>
      <w:r w:rsidR="00A6148E">
        <w:rPr>
          <w:rFonts w:ascii="Times New Roman" w:hAnsi="Times New Roman" w:cs="Times New Roman"/>
        </w:rPr>
        <w:t>javna nabava multimedijske opreme te su sredstva preusmjerena na programske troškove.</w:t>
      </w:r>
      <w:r w:rsidRPr="000C7BE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4522482" w14:textId="77777777" w:rsidR="00BC3931" w:rsidRPr="000C7BE3" w:rsidRDefault="00BC3931" w:rsidP="00442F1D">
      <w:pPr>
        <w:spacing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BAB4A0" w14:textId="348D3532" w:rsidR="00BC3931" w:rsidRPr="000C7BE3" w:rsidRDefault="00BC3931" w:rsidP="00FB1868">
      <w:pPr>
        <w:spacing w:after="12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C7BE3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83E7FAE" wp14:editId="47122628">
            <wp:extent cx="5180121" cy="1358265"/>
            <wp:effectExtent l="0" t="0" r="1905" b="13335"/>
            <wp:docPr id="48939055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679D073C" w14:textId="77777777" w:rsidR="00BC3931" w:rsidRPr="00B450DB" w:rsidRDefault="00BC3931" w:rsidP="00442F1D">
      <w:pPr>
        <w:spacing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D24565" w14:textId="5B5EF150" w:rsidR="0002684B" w:rsidRPr="001617C1" w:rsidRDefault="00E3372A" w:rsidP="00442F1D">
      <w:pPr>
        <w:pStyle w:val="ListParagraph"/>
        <w:numPr>
          <w:ilvl w:val="2"/>
          <w:numId w:val="14"/>
        </w:numPr>
        <w:spacing w:after="120" w:line="276" w:lineRule="auto"/>
        <w:rPr>
          <w:rFonts w:ascii="Times New Roman" w:hAnsi="Times New Roman" w:cs="Times New Roman"/>
          <w:b/>
          <w:bCs/>
        </w:rPr>
      </w:pPr>
      <w:r w:rsidRPr="001617C1">
        <w:rPr>
          <w:rFonts w:ascii="Times New Roman" w:hAnsi="Times New Roman" w:cs="Times New Roman"/>
          <w:b/>
          <w:bCs/>
        </w:rPr>
        <w:t xml:space="preserve">Rashodi prema funkcijskoj klasifikaciji  </w:t>
      </w:r>
    </w:p>
    <w:p w14:paraId="568C099D" w14:textId="77777777" w:rsidR="0002684B" w:rsidRDefault="0002684B" w:rsidP="00442F1D">
      <w:pPr>
        <w:pStyle w:val="ListParagraph"/>
        <w:spacing w:after="120" w:line="276" w:lineRule="auto"/>
        <w:rPr>
          <w:rFonts w:ascii="Times New Roman" w:hAnsi="Times New Roman" w:cs="Times New Roman"/>
          <w:b/>
          <w:bCs/>
          <w:i/>
          <w:iCs/>
        </w:rPr>
      </w:pPr>
    </w:p>
    <w:p w14:paraId="49FD9FE0" w14:textId="523980D7" w:rsidR="00E3372A" w:rsidRPr="0002684B" w:rsidRDefault="0002684B" w:rsidP="00442F1D">
      <w:pPr>
        <w:pStyle w:val="ListParagraph"/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Ustanova Kino Edison je ustanova u kulturi te su r</w:t>
      </w:r>
      <w:r w:rsidRPr="0002684B">
        <w:rPr>
          <w:rFonts w:ascii="Times New Roman" w:hAnsi="Times New Roman" w:cs="Times New Roman"/>
        </w:rPr>
        <w:t xml:space="preserve">ashodi prema funkcijskoj klasifikaciji </w:t>
      </w:r>
      <w:r w:rsidR="00E3372A" w:rsidRPr="0002684B">
        <w:rPr>
          <w:rFonts w:ascii="Times New Roman" w:hAnsi="Times New Roman" w:cs="Times New Roman"/>
        </w:rPr>
        <w:t>rashodi u službi kulture</w:t>
      </w:r>
      <w:r>
        <w:rPr>
          <w:rFonts w:ascii="Times New Roman" w:hAnsi="Times New Roman" w:cs="Times New Roman"/>
        </w:rPr>
        <w:t xml:space="preserve"> i iznose ukupno 701.020,70 eur-a.</w:t>
      </w:r>
    </w:p>
    <w:p w14:paraId="6D5E821F" w14:textId="77777777" w:rsidR="0002684B" w:rsidRDefault="0002684B" w:rsidP="00442F1D">
      <w:pPr>
        <w:spacing w:after="120" w:line="276" w:lineRule="auto"/>
        <w:rPr>
          <w:rFonts w:ascii="Times New Roman" w:hAnsi="Times New Roman" w:cs="Times New Roman"/>
          <w:sz w:val="20"/>
          <w:szCs w:val="20"/>
        </w:rPr>
      </w:pPr>
    </w:p>
    <w:p w14:paraId="4AFAF48E" w14:textId="77777777" w:rsidR="00FB1868" w:rsidRDefault="00FB1868" w:rsidP="00442F1D">
      <w:pPr>
        <w:spacing w:after="120" w:line="276" w:lineRule="auto"/>
        <w:rPr>
          <w:rFonts w:ascii="Times New Roman" w:hAnsi="Times New Roman" w:cs="Times New Roman"/>
          <w:sz w:val="20"/>
          <w:szCs w:val="20"/>
        </w:rPr>
      </w:pPr>
    </w:p>
    <w:p w14:paraId="36942F6B" w14:textId="77777777" w:rsidR="00FB1868" w:rsidRDefault="00FB1868" w:rsidP="00442F1D">
      <w:pPr>
        <w:spacing w:after="120" w:line="276" w:lineRule="auto"/>
        <w:rPr>
          <w:rFonts w:ascii="Times New Roman" w:hAnsi="Times New Roman" w:cs="Times New Roman"/>
          <w:sz w:val="20"/>
          <w:szCs w:val="20"/>
        </w:rPr>
      </w:pPr>
    </w:p>
    <w:p w14:paraId="117D2A70" w14:textId="77777777" w:rsidR="00FB1868" w:rsidRDefault="00FB1868" w:rsidP="00442F1D">
      <w:pPr>
        <w:spacing w:after="120" w:line="276" w:lineRule="auto"/>
        <w:rPr>
          <w:rFonts w:ascii="Times New Roman" w:hAnsi="Times New Roman" w:cs="Times New Roman"/>
          <w:sz w:val="20"/>
          <w:szCs w:val="20"/>
        </w:rPr>
      </w:pPr>
    </w:p>
    <w:p w14:paraId="6BB933CE" w14:textId="6DEBFE06" w:rsidR="00E30950" w:rsidRPr="000C7BE3" w:rsidRDefault="002D3E2A" w:rsidP="00FB1868">
      <w:pPr>
        <w:spacing w:after="12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2684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A0597E3" wp14:editId="2746232C">
            <wp:extent cx="5391889" cy="994305"/>
            <wp:effectExtent l="19050" t="19050" r="18415" b="15875"/>
            <wp:docPr id="132988488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568" cy="10008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BA18F9B" w14:textId="2C1023AA" w:rsidR="00C6570D" w:rsidRDefault="00C6570D" w:rsidP="00442F1D">
      <w:pPr>
        <w:spacing w:after="120" w:line="276" w:lineRule="auto"/>
        <w:rPr>
          <w:rFonts w:ascii="Times New Roman" w:hAnsi="Times New Roman" w:cs="Times New Roman"/>
          <w:b/>
          <w:bCs/>
          <w:u w:val="single"/>
        </w:rPr>
      </w:pPr>
    </w:p>
    <w:p w14:paraId="6F63FAD3" w14:textId="4A18BA3E" w:rsidR="0008039E" w:rsidRPr="001617C1" w:rsidRDefault="0008039E" w:rsidP="00442F1D">
      <w:pPr>
        <w:pStyle w:val="ListParagraph"/>
        <w:numPr>
          <w:ilvl w:val="2"/>
          <w:numId w:val="14"/>
        </w:num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1617C1">
        <w:rPr>
          <w:rFonts w:ascii="Times New Roman" w:hAnsi="Times New Roman" w:cs="Times New Roman"/>
          <w:b/>
          <w:bCs/>
        </w:rPr>
        <w:t xml:space="preserve">Prihodi i rashodi prema izvorima prikazani su u sljedećoj tablici: </w:t>
      </w:r>
    </w:p>
    <w:p w14:paraId="3E832806" w14:textId="3A19A6DF" w:rsidR="0008039E" w:rsidRDefault="002619ED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CB6A30" w:rsidRPr="00CB6A30">
        <w:rPr>
          <w:noProof/>
        </w:rPr>
        <w:drawing>
          <wp:inline distT="0" distB="0" distL="0" distR="0" wp14:anchorId="04CDE3A1" wp14:editId="48AA7048">
            <wp:extent cx="5370991" cy="3886786"/>
            <wp:effectExtent l="0" t="0" r="1270" b="0"/>
            <wp:docPr id="157371836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319" cy="3898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119C4" w14:textId="08813149" w:rsidR="00C6570D" w:rsidRDefault="006417B8" w:rsidP="006417B8">
      <w:pPr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6417B8">
        <w:rPr>
          <w:noProof/>
        </w:rPr>
        <w:drawing>
          <wp:inline distT="0" distB="0" distL="0" distR="0" wp14:anchorId="113C6B5A" wp14:editId="48A4ED11">
            <wp:extent cx="5372100" cy="1468120"/>
            <wp:effectExtent l="19050" t="19050" r="19050" b="17780"/>
            <wp:docPr id="14365262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3144" cy="147113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87804FD" w14:textId="77777777" w:rsidR="006417B8" w:rsidRDefault="006417B8" w:rsidP="00442F1D">
      <w:pPr>
        <w:spacing w:after="120" w:line="276" w:lineRule="auto"/>
        <w:jc w:val="center"/>
        <w:rPr>
          <w:rFonts w:ascii="Times New Roman" w:hAnsi="Times New Roman" w:cs="Times New Roman"/>
        </w:rPr>
      </w:pPr>
    </w:p>
    <w:p w14:paraId="263F49F2" w14:textId="77777777" w:rsidR="006417B8" w:rsidRDefault="006417B8" w:rsidP="00442F1D">
      <w:pPr>
        <w:spacing w:after="120" w:line="276" w:lineRule="auto"/>
        <w:jc w:val="center"/>
        <w:rPr>
          <w:rFonts w:ascii="Times New Roman" w:hAnsi="Times New Roman" w:cs="Times New Roman"/>
        </w:rPr>
      </w:pPr>
    </w:p>
    <w:p w14:paraId="7A3E61D0" w14:textId="77777777" w:rsidR="006417B8" w:rsidRDefault="006417B8" w:rsidP="00442F1D">
      <w:pPr>
        <w:spacing w:after="120" w:line="276" w:lineRule="auto"/>
        <w:jc w:val="center"/>
        <w:rPr>
          <w:rFonts w:ascii="Times New Roman" w:hAnsi="Times New Roman" w:cs="Times New Roman"/>
        </w:rPr>
      </w:pPr>
    </w:p>
    <w:p w14:paraId="15FB7041" w14:textId="65048A66" w:rsidR="00B73F92" w:rsidRDefault="00C6570D" w:rsidP="00442F1D">
      <w:pPr>
        <w:spacing w:after="12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22EC46A" wp14:editId="182DA939">
            <wp:extent cx="5226050" cy="1482571"/>
            <wp:effectExtent l="0" t="0" r="12700" b="3810"/>
            <wp:docPr id="1958125590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083C68F9" w14:textId="77777777" w:rsidR="0008039E" w:rsidRDefault="0008039E" w:rsidP="00442F1D">
      <w:pPr>
        <w:pStyle w:val="ListParagraph"/>
        <w:spacing w:after="12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0B92D7B3" w14:textId="77777777" w:rsidR="00B450DB" w:rsidRDefault="00B450DB" w:rsidP="00442F1D">
      <w:pPr>
        <w:pStyle w:val="ListParagraph"/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3E7F825F" w14:textId="77777777" w:rsidR="00B450DB" w:rsidRDefault="00B450DB" w:rsidP="00442F1D">
      <w:pPr>
        <w:pStyle w:val="ListParagraph"/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5848EF54" w14:textId="69295682" w:rsidR="0008039E" w:rsidRPr="001617C1" w:rsidRDefault="0025582D" w:rsidP="00442F1D">
      <w:pPr>
        <w:pStyle w:val="ListParagraph"/>
        <w:numPr>
          <w:ilvl w:val="1"/>
          <w:numId w:val="14"/>
        </w:numPr>
        <w:spacing w:after="12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1617C1">
        <w:rPr>
          <w:rFonts w:ascii="Times New Roman" w:hAnsi="Times New Roman" w:cs="Times New Roman"/>
          <w:b/>
          <w:bCs/>
        </w:rPr>
        <w:t xml:space="preserve"> IZVJEŠTAJ - </w:t>
      </w:r>
      <w:r w:rsidR="0008039E" w:rsidRPr="001617C1">
        <w:rPr>
          <w:rFonts w:ascii="Times New Roman" w:hAnsi="Times New Roman" w:cs="Times New Roman"/>
          <w:b/>
          <w:bCs/>
        </w:rPr>
        <w:t>POSEBNI DIO</w:t>
      </w:r>
    </w:p>
    <w:p w14:paraId="496334D0" w14:textId="77777777" w:rsidR="00CB6A30" w:rsidRDefault="00CB6A30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0112411C" w14:textId="310C8BFD" w:rsidR="0008039E" w:rsidRPr="00E30950" w:rsidRDefault="0008039E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E30950">
        <w:rPr>
          <w:rFonts w:ascii="Times New Roman" w:hAnsi="Times New Roman" w:cs="Times New Roman"/>
        </w:rPr>
        <w:t>Posebni dio odnosi se na pregled ukupno planiranih prihoda i rashoda prema izvorima financiranja.</w:t>
      </w:r>
    </w:p>
    <w:p w14:paraId="6A8A565B" w14:textId="77777777" w:rsidR="00995B84" w:rsidRDefault="00FD3D8C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E30950">
        <w:rPr>
          <w:rFonts w:ascii="Times New Roman" w:hAnsi="Times New Roman" w:cs="Times New Roman"/>
        </w:rPr>
        <w:t xml:space="preserve">Ustanova Kino Edison </w:t>
      </w:r>
      <w:r w:rsidR="00521291" w:rsidRPr="00E30950">
        <w:rPr>
          <w:rFonts w:ascii="Times New Roman" w:hAnsi="Times New Roman" w:cs="Times New Roman"/>
        </w:rPr>
        <w:t>je ustanova u kulturi</w:t>
      </w:r>
      <w:r w:rsidR="00995B84">
        <w:rPr>
          <w:rFonts w:ascii="Times New Roman" w:hAnsi="Times New Roman" w:cs="Times New Roman"/>
        </w:rPr>
        <w:t xml:space="preserve"> Grada Karlovca </w:t>
      </w:r>
      <w:r w:rsidR="00637089" w:rsidRPr="00E30950">
        <w:rPr>
          <w:rFonts w:ascii="Times New Roman" w:hAnsi="Times New Roman" w:cs="Times New Roman"/>
        </w:rPr>
        <w:t xml:space="preserve"> </w:t>
      </w:r>
      <w:r w:rsidR="00995B84">
        <w:rPr>
          <w:rFonts w:ascii="Times New Roman" w:hAnsi="Times New Roman" w:cs="Times New Roman"/>
        </w:rPr>
        <w:t>te je djelatnost Ustanove promicanje kulture i kao takva</w:t>
      </w:r>
      <w:r w:rsidR="00637089" w:rsidRPr="00E30950">
        <w:rPr>
          <w:rFonts w:ascii="Times New Roman" w:hAnsi="Times New Roman" w:cs="Times New Roman"/>
        </w:rPr>
        <w:t xml:space="preserve"> pripada </w:t>
      </w:r>
      <w:r w:rsidR="00521291" w:rsidRPr="00E30950">
        <w:rPr>
          <w:rFonts w:ascii="Times New Roman" w:hAnsi="Times New Roman" w:cs="Times New Roman"/>
        </w:rPr>
        <w:t>Program</w:t>
      </w:r>
      <w:r w:rsidR="00637089" w:rsidRPr="00E30950">
        <w:rPr>
          <w:rFonts w:ascii="Times New Roman" w:hAnsi="Times New Roman" w:cs="Times New Roman"/>
        </w:rPr>
        <w:t>u</w:t>
      </w:r>
      <w:r w:rsidR="00521291" w:rsidRPr="00E30950">
        <w:rPr>
          <w:rFonts w:ascii="Times New Roman" w:hAnsi="Times New Roman" w:cs="Times New Roman"/>
        </w:rPr>
        <w:t xml:space="preserve"> oznake  6004 -</w:t>
      </w:r>
      <w:r w:rsidR="00995B84">
        <w:rPr>
          <w:rFonts w:ascii="Times New Roman" w:hAnsi="Times New Roman" w:cs="Times New Roman"/>
        </w:rPr>
        <w:t xml:space="preserve"> </w:t>
      </w:r>
      <w:r w:rsidR="00521291" w:rsidRPr="00E30950">
        <w:rPr>
          <w:rFonts w:ascii="Times New Roman" w:hAnsi="Times New Roman" w:cs="Times New Roman"/>
        </w:rPr>
        <w:t>promicanje kulture</w:t>
      </w:r>
      <w:r w:rsidR="00995B84" w:rsidRPr="00995B84">
        <w:rPr>
          <w:rFonts w:ascii="Times New Roman" w:hAnsi="Times New Roman" w:cs="Times New Roman"/>
        </w:rPr>
        <w:t xml:space="preserve"> </w:t>
      </w:r>
      <w:r w:rsidR="00995B84">
        <w:rPr>
          <w:rFonts w:ascii="Times New Roman" w:hAnsi="Times New Roman" w:cs="Times New Roman"/>
        </w:rPr>
        <w:t>te su i ostvareni rashodi vezani za realiziranje  kulturno – turističkih sadržaja.</w:t>
      </w:r>
      <w:r w:rsidR="0096634E" w:rsidRPr="00E30950">
        <w:rPr>
          <w:rFonts w:ascii="Times New Roman" w:hAnsi="Times New Roman" w:cs="Times New Roman"/>
        </w:rPr>
        <w:t xml:space="preserve"> </w:t>
      </w:r>
    </w:p>
    <w:p w14:paraId="7E8D146B" w14:textId="1694EE65" w:rsidR="00820CCC" w:rsidRPr="00E30950" w:rsidRDefault="00637089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E30950">
        <w:rPr>
          <w:rFonts w:ascii="Times New Roman" w:hAnsi="Times New Roman" w:cs="Times New Roman"/>
        </w:rPr>
        <w:t xml:space="preserve">U sklopu Programa 6004 su </w:t>
      </w:r>
      <w:r w:rsidR="00820CCC" w:rsidRPr="00E30950">
        <w:rPr>
          <w:rFonts w:ascii="Times New Roman" w:hAnsi="Times New Roman" w:cs="Times New Roman"/>
        </w:rPr>
        <w:t>sljedeć</w:t>
      </w:r>
      <w:r w:rsidRPr="00E30950">
        <w:rPr>
          <w:rFonts w:ascii="Times New Roman" w:hAnsi="Times New Roman" w:cs="Times New Roman"/>
        </w:rPr>
        <w:t>e</w:t>
      </w:r>
      <w:r w:rsidR="00820CCC" w:rsidRPr="00E30950">
        <w:rPr>
          <w:rFonts w:ascii="Times New Roman" w:hAnsi="Times New Roman" w:cs="Times New Roman"/>
        </w:rPr>
        <w:t xml:space="preserve"> aktivnosti</w:t>
      </w:r>
      <w:r w:rsidR="0096634E" w:rsidRPr="00E30950">
        <w:rPr>
          <w:rFonts w:ascii="Times New Roman" w:hAnsi="Times New Roman" w:cs="Times New Roman"/>
        </w:rPr>
        <w:t xml:space="preserve"> i kapitaln</w:t>
      </w:r>
      <w:r w:rsidRPr="00E30950">
        <w:rPr>
          <w:rFonts w:ascii="Times New Roman" w:hAnsi="Times New Roman" w:cs="Times New Roman"/>
        </w:rPr>
        <w:t>i</w:t>
      </w:r>
      <w:r w:rsidR="0096634E" w:rsidRPr="00E30950">
        <w:rPr>
          <w:rFonts w:ascii="Times New Roman" w:hAnsi="Times New Roman" w:cs="Times New Roman"/>
        </w:rPr>
        <w:t xml:space="preserve"> projekt</w:t>
      </w:r>
      <w:r w:rsidR="00820CCC" w:rsidRPr="00E30950">
        <w:rPr>
          <w:rFonts w:ascii="Times New Roman" w:hAnsi="Times New Roman" w:cs="Times New Roman"/>
        </w:rPr>
        <w:t>:</w:t>
      </w:r>
    </w:p>
    <w:p w14:paraId="31204FB3" w14:textId="5AEDEDE2" w:rsidR="0096634E" w:rsidRPr="00E30950" w:rsidRDefault="0096634E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  <w:bookmarkStart w:id="2" w:name="_Hlk193268725"/>
      <w:r w:rsidRPr="00E30950">
        <w:rPr>
          <w:rFonts w:ascii="Times New Roman" w:hAnsi="Times New Roman" w:cs="Times New Roman"/>
        </w:rPr>
        <w:t>A600402 – materijalni i financijski rashodi poslovanja</w:t>
      </w:r>
    </w:p>
    <w:p w14:paraId="03833D6B" w14:textId="2A367C62" w:rsidR="0096634E" w:rsidRPr="00E30950" w:rsidRDefault="0096634E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  <w:bookmarkStart w:id="3" w:name="_Hlk193271079"/>
      <w:bookmarkEnd w:id="2"/>
      <w:r w:rsidRPr="00E30950">
        <w:rPr>
          <w:rFonts w:ascii="Times New Roman" w:hAnsi="Times New Roman" w:cs="Times New Roman"/>
        </w:rPr>
        <w:t>A600403 – rashodi za zaposlene</w:t>
      </w:r>
    </w:p>
    <w:p w14:paraId="471E61F1" w14:textId="3B08D8F8" w:rsidR="0096634E" w:rsidRPr="00E30950" w:rsidRDefault="0096634E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  <w:bookmarkStart w:id="4" w:name="_Hlk193271516"/>
      <w:bookmarkEnd w:id="3"/>
      <w:r w:rsidRPr="00E30950">
        <w:rPr>
          <w:rFonts w:ascii="Times New Roman" w:hAnsi="Times New Roman" w:cs="Times New Roman"/>
        </w:rPr>
        <w:t>A600404 – programska djelatnost</w:t>
      </w:r>
    </w:p>
    <w:bookmarkEnd w:id="4"/>
    <w:p w14:paraId="71FAF436" w14:textId="7AF45E0F" w:rsidR="0096634E" w:rsidRDefault="0096634E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E30950">
        <w:rPr>
          <w:rFonts w:ascii="Times New Roman" w:hAnsi="Times New Roman" w:cs="Times New Roman"/>
        </w:rPr>
        <w:t>K600402 – nabava nefinancijske imovine</w:t>
      </w:r>
    </w:p>
    <w:p w14:paraId="3DC1D1C3" w14:textId="77777777" w:rsidR="00C45315" w:rsidRDefault="00995B84" w:rsidP="00C45315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E30950">
        <w:rPr>
          <w:rFonts w:ascii="Times New Roman" w:hAnsi="Times New Roman" w:cs="Times New Roman"/>
        </w:rPr>
        <w:t xml:space="preserve">Ostvareni rashodi financirani su iz izvora prikazanih u sljedećoj tablici: </w:t>
      </w:r>
    </w:p>
    <w:p w14:paraId="6C2B42AD" w14:textId="0A3210F9" w:rsidR="00B73F92" w:rsidRDefault="002619ED" w:rsidP="00C45315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D73F1A" w:rsidRPr="00CB6A30">
        <w:rPr>
          <w:noProof/>
          <w:sz w:val="20"/>
          <w:szCs w:val="20"/>
        </w:rPr>
        <w:drawing>
          <wp:inline distT="0" distB="0" distL="0" distR="0" wp14:anchorId="7A84CDD8" wp14:editId="70B68CB5">
            <wp:extent cx="3390900" cy="2489200"/>
            <wp:effectExtent l="0" t="0" r="0" b="6350"/>
            <wp:docPr id="142308382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531" cy="2509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5315">
        <w:rPr>
          <w:rFonts w:ascii="Times New Roman" w:hAnsi="Times New Roman" w:cs="Times New Roman"/>
          <w:noProof/>
        </w:rPr>
        <w:drawing>
          <wp:inline distT="0" distB="0" distL="0" distR="0" wp14:anchorId="55D730C3" wp14:editId="570EABD7">
            <wp:extent cx="2470150" cy="2241550"/>
            <wp:effectExtent l="0" t="0" r="6350" b="6350"/>
            <wp:docPr id="1511096679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7ADC872E" w14:textId="77777777" w:rsidR="00FB1868" w:rsidRDefault="00FB1868" w:rsidP="00442F1D">
      <w:pPr>
        <w:pStyle w:val="ListParagraph"/>
        <w:spacing w:after="120" w:line="276" w:lineRule="auto"/>
        <w:jc w:val="both"/>
        <w:rPr>
          <w:rFonts w:ascii="Times New Roman" w:hAnsi="Times New Roman" w:cs="Times New Roman"/>
        </w:rPr>
      </w:pPr>
    </w:p>
    <w:p w14:paraId="64521E58" w14:textId="3E7778E6" w:rsidR="00FB1868" w:rsidRDefault="00FB1868" w:rsidP="00442F1D">
      <w:pPr>
        <w:pStyle w:val="ListParagraph"/>
        <w:spacing w:after="120" w:line="276" w:lineRule="auto"/>
        <w:jc w:val="both"/>
        <w:rPr>
          <w:rFonts w:ascii="Times New Roman" w:hAnsi="Times New Roman" w:cs="Times New Roman"/>
        </w:rPr>
      </w:pPr>
    </w:p>
    <w:p w14:paraId="3F59AB67" w14:textId="77777777" w:rsidR="00CB6A30" w:rsidRDefault="00CB6A30" w:rsidP="00442F1D">
      <w:pPr>
        <w:pStyle w:val="ListParagraph"/>
        <w:spacing w:after="120" w:line="276" w:lineRule="auto"/>
        <w:jc w:val="both"/>
        <w:rPr>
          <w:rFonts w:ascii="Times New Roman" w:hAnsi="Times New Roman" w:cs="Times New Roman"/>
        </w:rPr>
      </w:pPr>
    </w:p>
    <w:p w14:paraId="6DDE0F3E" w14:textId="51A02579" w:rsidR="00946A12" w:rsidRPr="00C45315" w:rsidRDefault="00057F16" w:rsidP="00442F1D">
      <w:pPr>
        <w:pStyle w:val="ListParagraph"/>
        <w:numPr>
          <w:ilvl w:val="0"/>
          <w:numId w:val="9"/>
        </w:numPr>
        <w:spacing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3F1A">
        <w:rPr>
          <w:rFonts w:ascii="Times New Roman" w:hAnsi="Times New Roman" w:cs="Times New Roman"/>
        </w:rPr>
        <w:t>A600402 – materijalni i financijski rashodi poslovanja</w:t>
      </w:r>
    </w:p>
    <w:p w14:paraId="1B1A5B6E" w14:textId="77777777" w:rsidR="00C45315" w:rsidRPr="00D73F1A" w:rsidRDefault="00C45315" w:rsidP="00C45315">
      <w:pPr>
        <w:pStyle w:val="ListParagraph"/>
        <w:spacing w:after="120" w:line="276" w:lineRule="auto"/>
        <w:ind w:left="1800"/>
        <w:jc w:val="both"/>
        <w:rPr>
          <w:rFonts w:ascii="Times New Roman" w:hAnsi="Times New Roman" w:cs="Times New Roman"/>
          <w:sz w:val="20"/>
          <w:szCs w:val="20"/>
        </w:rPr>
      </w:pPr>
    </w:p>
    <w:p w14:paraId="14AC2B0D" w14:textId="501A5687" w:rsidR="00057F16" w:rsidRPr="000C7BE3" w:rsidRDefault="00D73F1A" w:rsidP="00442F1D">
      <w:pPr>
        <w:pStyle w:val="ListParagraph"/>
        <w:spacing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3F1A">
        <w:rPr>
          <w:noProof/>
        </w:rPr>
        <w:drawing>
          <wp:inline distT="0" distB="0" distL="0" distR="0" wp14:anchorId="1CCDB393" wp14:editId="5DDCFF8B">
            <wp:extent cx="5130592" cy="6032376"/>
            <wp:effectExtent l="0" t="0" r="0" b="6985"/>
            <wp:docPr id="111162810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133" cy="6058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C081C" w14:textId="77777777" w:rsidR="00AD6DB6" w:rsidRDefault="00AD6DB6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23A83BEA" w14:textId="023506A1" w:rsidR="004B5D54" w:rsidRDefault="00A21D9D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E30950">
        <w:rPr>
          <w:rFonts w:ascii="Times New Roman" w:hAnsi="Times New Roman" w:cs="Times New Roman"/>
        </w:rPr>
        <w:t>Materijalni rashodi poslovanja u 202</w:t>
      </w:r>
      <w:r w:rsidR="005E47EC">
        <w:rPr>
          <w:rFonts w:ascii="Times New Roman" w:hAnsi="Times New Roman" w:cs="Times New Roman"/>
        </w:rPr>
        <w:t>5</w:t>
      </w:r>
      <w:r w:rsidRPr="00E30950">
        <w:rPr>
          <w:rFonts w:ascii="Times New Roman" w:hAnsi="Times New Roman" w:cs="Times New Roman"/>
        </w:rPr>
        <w:t xml:space="preserve">. godini su u iznosu </w:t>
      </w:r>
      <w:r w:rsidR="005E47EC">
        <w:rPr>
          <w:rFonts w:ascii="Times New Roman" w:hAnsi="Times New Roman" w:cs="Times New Roman"/>
        </w:rPr>
        <w:t>151.287,74 eur-a</w:t>
      </w:r>
      <w:r w:rsidRPr="00E30950">
        <w:rPr>
          <w:rFonts w:ascii="Times New Roman" w:hAnsi="Times New Roman" w:cs="Times New Roman"/>
        </w:rPr>
        <w:t xml:space="preserve"> što je </w:t>
      </w:r>
      <w:r w:rsidR="005E47EC">
        <w:rPr>
          <w:rFonts w:ascii="Times New Roman" w:hAnsi="Times New Roman" w:cs="Times New Roman"/>
        </w:rPr>
        <w:t>79,33</w:t>
      </w:r>
      <w:r w:rsidRPr="00E30950">
        <w:rPr>
          <w:rFonts w:ascii="Times New Roman" w:hAnsi="Times New Roman" w:cs="Times New Roman"/>
        </w:rPr>
        <w:t xml:space="preserve">% planiranih. Materijalni rashodi čine rashodi za </w:t>
      </w:r>
      <w:r w:rsidR="0049426E" w:rsidRPr="00E30950">
        <w:rPr>
          <w:rFonts w:ascii="Times New Roman" w:hAnsi="Times New Roman" w:cs="Times New Roman"/>
        </w:rPr>
        <w:t>službena putovanja, naknade za prijevoz zaposlenika, edukacije,električnu energiju, komunalne usluge, telefon, rashodi za uredski materijal i materijal za čišćenje, sitan inventar, rashodi za tekuće održavanje, tiskarske usluge i usluge promidžbe, intelektualne usluge, osiguranje, reprezentaciju, naknada za rad upravnog vijeća.</w:t>
      </w:r>
      <w:r w:rsidR="004B5D54">
        <w:rPr>
          <w:rFonts w:ascii="Times New Roman" w:hAnsi="Times New Roman" w:cs="Times New Roman"/>
        </w:rPr>
        <w:t xml:space="preserve"> </w:t>
      </w:r>
    </w:p>
    <w:p w14:paraId="4A39CD97" w14:textId="77777777" w:rsidR="004B5D54" w:rsidRDefault="004B5D54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1E1537D3" w14:textId="645EA9AC" w:rsidR="00637089" w:rsidRDefault="000D2134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E30950">
        <w:rPr>
          <w:rFonts w:ascii="Times New Roman" w:hAnsi="Times New Roman" w:cs="Times New Roman"/>
        </w:rPr>
        <w:t xml:space="preserve">Materijalni rashodi su rashodi redovnog poslovanja Ustanove i financirani su dijelom iz proračunskih izvora i dijelom iz vlastitih sredstava i viškova </w:t>
      </w:r>
      <w:r w:rsidR="005E47EC">
        <w:rPr>
          <w:rFonts w:ascii="Times New Roman" w:hAnsi="Times New Roman" w:cs="Times New Roman"/>
        </w:rPr>
        <w:t xml:space="preserve">prihoda </w:t>
      </w:r>
      <w:r w:rsidRPr="00E30950">
        <w:rPr>
          <w:rFonts w:ascii="Times New Roman" w:hAnsi="Times New Roman" w:cs="Times New Roman"/>
        </w:rPr>
        <w:t>prenesenih iz 202</w:t>
      </w:r>
      <w:r w:rsidR="005E47EC">
        <w:rPr>
          <w:rFonts w:ascii="Times New Roman" w:hAnsi="Times New Roman" w:cs="Times New Roman"/>
        </w:rPr>
        <w:t>4</w:t>
      </w:r>
      <w:r w:rsidRPr="00E30950">
        <w:rPr>
          <w:rFonts w:ascii="Times New Roman" w:hAnsi="Times New Roman" w:cs="Times New Roman"/>
        </w:rPr>
        <w:t>. godine.</w:t>
      </w:r>
    </w:p>
    <w:p w14:paraId="065BC6DA" w14:textId="77777777" w:rsidR="00B73F92" w:rsidRDefault="00B73F92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2C109656" w14:textId="77777777" w:rsidR="000D2134" w:rsidRDefault="000D2134" w:rsidP="00442F1D">
      <w:pPr>
        <w:pStyle w:val="ListParagraph"/>
        <w:numPr>
          <w:ilvl w:val="0"/>
          <w:numId w:val="9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E30950">
        <w:rPr>
          <w:rFonts w:ascii="Times New Roman" w:hAnsi="Times New Roman" w:cs="Times New Roman"/>
        </w:rPr>
        <w:t>A600403 – rashodi za zaposlene</w:t>
      </w:r>
    </w:p>
    <w:p w14:paraId="6E27429D" w14:textId="77777777" w:rsidR="00C45315" w:rsidRPr="00E30950" w:rsidRDefault="00C45315" w:rsidP="00C45315">
      <w:pPr>
        <w:pStyle w:val="ListParagraph"/>
        <w:spacing w:after="120" w:line="276" w:lineRule="auto"/>
        <w:ind w:left="1800"/>
        <w:jc w:val="both"/>
        <w:rPr>
          <w:rFonts w:ascii="Times New Roman" w:hAnsi="Times New Roman" w:cs="Times New Roman"/>
        </w:rPr>
      </w:pPr>
    </w:p>
    <w:p w14:paraId="7288F4F5" w14:textId="506B16A8" w:rsidR="006C453C" w:rsidRPr="000C7BE3" w:rsidRDefault="00D73F1A" w:rsidP="00442F1D">
      <w:pPr>
        <w:pStyle w:val="ListParagraph"/>
        <w:spacing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3F1A">
        <w:rPr>
          <w:noProof/>
        </w:rPr>
        <w:drawing>
          <wp:inline distT="0" distB="0" distL="0" distR="0" wp14:anchorId="7D3BEAAC" wp14:editId="7F842FB1">
            <wp:extent cx="4950078" cy="1389356"/>
            <wp:effectExtent l="0" t="0" r="3175" b="1905"/>
            <wp:docPr id="41797384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581" cy="1413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A1CC0" w14:textId="77777777" w:rsidR="004B5D54" w:rsidRDefault="004B5D54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630A5516" w14:textId="7E5D5746" w:rsidR="00637089" w:rsidRDefault="000D2134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E30950">
        <w:rPr>
          <w:rFonts w:ascii="Times New Roman" w:hAnsi="Times New Roman" w:cs="Times New Roman"/>
        </w:rPr>
        <w:t xml:space="preserve">Rashodi za zaposlene iznose </w:t>
      </w:r>
      <w:r w:rsidR="00A87B03">
        <w:rPr>
          <w:rFonts w:ascii="Times New Roman" w:hAnsi="Times New Roman" w:cs="Times New Roman"/>
        </w:rPr>
        <w:t>353.092,42</w:t>
      </w:r>
      <w:r w:rsidRPr="00E30950">
        <w:rPr>
          <w:rFonts w:ascii="Times New Roman" w:hAnsi="Times New Roman" w:cs="Times New Roman"/>
        </w:rPr>
        <w:t xml:space="preserve"> eur-a </w:t>
      </w:r>
      <w:r w:rsidR="005E47EC">
        <w:rPr>
          <w:rFonts w:ascii="Times New Roman" w:hAnsi="Times New Roman" w:cs="Times New Roman"/>
        </w:rPr>
        <w:t xml:space="preserve">što je </w:t>
      </w:r>
      <w:r w:rsidR="00A87B03">
        <w:rPr>
          <w:rFonts w:ascii="Times New Roman" w:hAnsi="Times New Roman" w:cs="Times New Roman"/>
        </w:rPr>
        <w:t>82,58</w:t>
      </w:r>
      <w:r w:rsidRPr="00E30950">
        <w:rPr>
          <w:rFonts w:ascii="Times New Roman" w:hAnsi="Times New Roman" w:cs="Times New Roman"/>
        </w:rPr>
        <w:t xml:space="preserve">% plana. Rashodi se odnose na ukupne plaće zaposlenika uključujući i doprinose te naknade koje zaposlenici ostvaruju prema važećem Kolektivnom ugovoru, a to su prehrana, božićnica, regres, uskrsnica, dar djeci. Plaće su financirane iz proračuna osim božićnice i regresa koji su financirani iz vlastitih izvora i to viškova </w:t>
      </w:r>
      <w:r w:rsidR="005E47EC">
        <w:rPr>
          <w:rFonts w:ascii="Times New Roman" w:hAnsi="Times New Roman" w:cs="Times New Roman"/>
        </w:rPr>
        <w:t xml:space="preserve">prihoda </w:t>
      </w:r>
      <w:r w:rsidRPr="00E30950">
        <w:rPr>
          <w:rFonts w:ascii="Times New Roman" w:hAnsi="Times New Roman" w:cs="Times New Roman"/>
        </w:rPr>
        <w:t>prenesenih iz 202</w:t>
      </w:r>
      <w:r w:rsidR="005E47EC">
        <w:rPr>
          <w:rFonts w:ascii="Times New Roman" w:hAnsi="Times New Roman" w:cs="Times New Roman"/>
        </w:rPr>
        <w:t>4</w:t>
      </w:r>
      <w:r w:rsidRPr="00E30950">
        <w:rPr>
          <w:rFonts w:ascii="Times New Roman" w:hAnsi="Times New Roman" w:cs="Times New Roman"/>
        </w:rPr>
        <w:t>. godine.</w:t>
      </w:r>
    </w:p>
    <w:p w14:paraId="7BD0F2B8" w14:textId="77777777" w:rsidR="00B73F92" w:rsidRPr="00E30950" w:rsidRDefault="00B73F92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7978CFCF" w14:textId="20ACEC46" w:rsidR="000D2134" w:rsidRPr="00E30950" w:rsidRDefault="000D2134" w:rsidP="00442F1D">
      <w:pPr>
        <w:pStyle w:val="ListParagraph"/>
        <w:numPr>
          <w:ilvl w:val="0"/>
          <w:numId w:val="9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E30950">
        <w:rPr>
          <w:rFonts w:ascii="Times New Roman" w:hAnsi="Times New Roman" w:cs="Times New Roman"/>
        </w:rPr>
        <w:t>A600404 – programska djelatnost</w:t>
      </w:r>
    </w:p>
    <w:p w14:paraId="68B26D6E" w14:textId="00713C05" w:rsidR="006C273F" w:rsidRPr="00E30950" w:rsidRDefault="006C273F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E30950">
        <w:rPr>
          <w:rFonts w:ascii="Times New Roman" w:hAnsi="Times New Roman" w:cs="Times New Roman"/>
        </w:rPr>
        <w:t>Programska djelatnost financirana je iz više izvora:</w:t>
      </w:r>
    </w:p>
    <w:p w14:paraId="2532670F" w14:textId="5C7DBF33" w:rsidR="006C273F" w:rsidRPr="00E30950" w:rsidRDefault="006C273F" w:rsidP="00442F1D">
      <w:pPr>
        <w:pStyle w:val="ListParagraph"/>
        <w:numPr>
          <w:ilvl w:val="0"/>
          <w:numId w:val="7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E30950">
        <w:rPr>
          <w:rFonts w:ascii="Times New Roman" w:hAnsi="Times New Roman" w:cs="Times New Roman"/>
        </w:rPr>
        <w:t>Proračunskih izvora</w:t>
      </w:r>
    </w:p>
    <w:p w14:paraId="71DC265F" w14:textId="35BEDE31" w:rsidR="006C273F" w:rsidRPr="00E30950" w:rsidRDefault="006C273F" w:rsidP="00442F1D">
      <w:pPr>
        <w:pStyle w:val="ListParagraph"/>
        <w:numPr>
          <w:ilvl w:val="0"/>
          <w:numId w:val="7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E30950">
        <w:rPr>
          <w:rFonts w:ascii="Times New Roman" w:hAnsi="Times New Roman" w:cs="Times New Roman"/>
        </w:rPr>
        <w:t>Vlastitih izvora</w:t>
      </w:r>
    </w:p>
    <w:p w14:paraId="2D083CD5" w14:textId="2DF79C61" w:rsidR="006C273F" w:rsidRPr="00E30950" w:rsidRDefault="006C273F" w:rsidP="00442F1D">
      <w:pPr>
        <w:pStyle w:val="ListParagraph"/>
        <w:numPr>
          <w:ilvl w:val="0"/>
          <w:numId w:val="7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E30950">
        <w:rPr>
          <w:rFonts w:ascii="Times New Roman" w:hAnsi="Times New Roman" w:cs="Times New Roman"/>
        </w:rPr>
        <w:t>Vlastitih izvora – viškova iz 202</w:t>
      </w:r>
      <w:r w:rsidR="005E47EC">
        <w:rPr>
          <w:rFonts w:ascii="Times New Roman" w:hAnsi="Times New Roman" w:cs="Times New Roman"/>
        </w:rPr>
        <w:t>4</w:t>
      </w:r>
      <w:r w:rsidRPr="00E30950">
        <w:rPr>
          <w:rFonts w:ascii="Times New Roman" w:hAnsi="Times New Roman" w:cs="Times New Roman"/>
        </w:rPr>
        <w:t>. godine</w:t>
      </w:r>
    </w:p>
    <w:p w14:paraId="5DE18286" w14:textId="4AC24616" w:rsidR="006C273F" w:rsidRPr="00E30950" w:rsidRDefault="006C273F" w:rsidP="00442F1D">
      <w:pPr>
        <w:pStyle w:val="ListParagraph"/>
        <w:numPr>
          <w:ilvl w:val="0"/>
          <w:numId w:val="7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E30950">
        <w:rPr>
          <w:rFonts w:ascii="Times New Roman" w:hAnsi="Times New Roman" w:cs="Times New Roman"/>
        </w:rPr>
        <w:t xml:space="preserve">Sredstava dodijeljenih od strane Županije, DHF-a i </w:t>
      </w:r>
      <w:r w:rsidR="00B27C49">
        <w:rPr>
          <w:rFonts w:ascii="Times New Roman" w:hAnsi="Times New Roman" w:cs="Times New Roman"/>
        </w:rPr>
        <w:t>HAVC-A</w:t>
      </w:r>
      <w:r w:rsidRPr="00E30950">
        <w:rPr>
          <w:rFonts w:ascii="Times New Roman" w:hAnsi="Times New Roman" w:cs="Times New Roman"/>
        </w:rPr>
        <w:t>.</w:t>
      </w:r>
    </w:p>
    <w:p w14:paraId="22D5FDCD" w14:textId="77777777" w:rsidR="004B5D54" w:rsidRDefault="00F770E7" w:rsidP="00FF6677">
      <w:pPr>
        <w:spacing w:after="12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70E7">
        <w:rPr>
          <w:rFonts w:ascii="Times New Roman" w:eastAsia="Calibri" w:hAnsi="Times New Roman" w:cs="Times New Roman"/>
          <w:kern w:val="0"/>
          <w14:ligatures w14:val="none"/>
        </w:rPr>
        <w:t xml:space="preserve">Programske aktivnosti Kina Edison sastoje se od filmskog programa i organiziranih događaja koji nisu vezani isključivo uz filmski program. </w:t>
      </w:r>
    </w:p>
    <w:p w14:paraId="19EDE716" w14:textId="1E6468CB" w:rsidR="00B86365" w:rsidRDefault="00F770E7" w:rsidP="00FF6677">
      <w:pPr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770E7">
        <w:rPr>
          <w:rFonts w:ascii="Times New Roman" w:eastAsia="Calibri" w:hAnsi="Times New Roman" w:cs="Times New Roman"/>
          <w:kern w:val="0"/>
          <w14:ligatures w14:val="none"/>
        </w:rPr>
        <w:t>U 202</w:t>
      </w:r>
      <w:r w:rsidR="003F2F98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F770E7">
        <w:rPr>
          <w:rFonts w:ascii="Times New Roman" w:eastAsia="Calibri" w:hAnsi="Times New Roman" w:cs="Times New Roman"/>
          <w:kern w:val="0"/>
          <w14:ligatures w14:val="none"/>
        </w:rPr>
        <w:t>. godini prikazano je 1.</w:t>
      </w:r>
      <w:r w:rsidR="003F2F98">
        <w:rPr>
          <w:rFonts w:ascii="Times New Roman" w:eastAsia="Calibri" w:hAnsi="Times New Roman" w:cs="Times New Roman"/>
          <w:kern w:val="0"/>
          <w14:ligatures w14:val="none"/>
        </w:rPr>
        <w:t>460</w:t>
      </w:r>
      <w:r w:rsidRPr="00F770E7">
        <w:rPr>
          <w:rFonts w:ascii="Times New Roman" w:eastAsia="Calibri" w:hAnsi="Times New Roman" w:cs="Times New Roman"/>
          <w:kern w:val="0"/>
          <w14:ligatures w14:val="none"/>
        </w:rPr>
        <w:t xml:space="preserve"> filmskih projekcija</w:t>
      </w:r>
      <w:r w:rsidR="00FF6677">
        <w:rPr>
          <w:rFonts w:ascii="Times New Roman" w:eastAsia="Calibri" w:hAnsi="Times New Roman" w:cs="Times New Roman"/>
          <w:kern w:val="0"/>
          <w14:ligatures w14:val="none"/>
        </w:rPr>
        <w:t>, održano</w:t>
      </w:r>
      <w:r w:rsidRPr="00F770E7">
        <w:rPr>
          <w:rFonts w:ascii="Times New Roman" w:eastAsia="Calibri" w:hAnsi="Times New Roman" w:cs="Times New Roman"/>
          <w:kern w:val="0"/>
          <w14:ligatures w14:val="none"/>
        </w:rPr>
        <w:t xml:space="preserve"> 1</w:t>
      </w:r>
      <w:r w:rsidR="003F2F98">
        <w:rPr>
          <w:rFonts w:ascii="Times New Roman" w:eastAsia="Calibri" w:hAnsi="Times New Roman" w:cs="Times New Roman"/>
          <w:kern w:val="0"/>
          <w14:ligatures w14:val="none"/>
        </w:rPr>
        <w:t>71</w:t>
      </w:r>
      <w:r w:rsidR="00AD6DB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F770E7">
        <w:rPr>
          <w:rFonts w:ascii="Times New Roman" w:eastAsia="Calibri" w:hAnsi="Times New Roman" w:cs="Times New Roman"/>
          <w:kern w:val="0"/>
          <w14:ligatures w14:val="none"/>
        </w:rPr>
        <w:t xml:space="preserve">različitih događaja, od festivala i konferencija, </w:t>
      </w:r>
      <w:r w:rsidRPr="00FF6677">
        <w:rPr>
          <w:rFonts w:ascii="Times New Roman" w:eastAsia="Calibri" w:hAnsi="Times New Roman" w:cs="Times New Roman"/>
          <w:kern w:val="0"/>
          <w14:ligatures w14:val="none"/>
        </w:rPr>
        <w:t>do predavanja i</w:t>
      </w:r>
      <w:r w:rsidR="00FF6677" w:rsidRPr="00FF6677">
        <w:rPr>
          <w:rFonts w:ascii="Times New Roman" w:hAnsi="Times New Roman" w:cs="Times New Roman"/>
        </w:rPr>
        <w:t xml:space="preserve"> događaj</w:t>
      </w:r>
      <w:r w:rsidR="00FF6677">
        <w:rPr>
          <w:rFonts w:ascii="Times New Roman" w:hAnsi="Times New Roman" w:cs="Times New Roman"/>
        </w:rPr>
        <w:t>a</w:t>
      </w:r>
      <w:r w:rsidR="00FF6677" w:rsidRPr="00FF6677">
        <w:rPr>
          <w:rFonts w:ascii="Times New Roman" w:hAnsi="Times New Roman" w:cs="Times New Roman"/>
        </w:rPr>
        <w:t xml:space="preserve"> zabavnog karaktera, poput koncerata, predstava i plesnih predstava, stand-up nastupa i kvizova, te kulturn</w:t>
      </w:r>
      <w:r w:rsidR="00B86365">
        <w:rPr>
          <w:rFonts w:ascii="Times New Roman" w:hAnsi="Times New Roman" w:cs="Times New Roman"/>
        </w:rPr>
        <w:t>ih</w:t>
      </w:r>
      <w:r w:rsidR="00FF6677" w:rsidRPr="00FF6677">
        <w:rPr>
          <w:rFonts w:ascii="Times New Roman" w:hAnsi="Times New Roman" w:cs="Times New Roman"/>
        </w:rPr>
        <w:t xml:space="preserve"> događanja kao što su predavanja, izložbe i paneli</w:t>
      </w:r>
      <w:r w:rsidRPr="00FF6677">
        <w:rPr>
          <w:rFonts w:ascii="Times New Roman" w:eastAsia="Calibri" w:hAnsi="Times New Roman" w:cs="Times New Roman"/>
          <w:kern w:val="0"/>
          <w14:ligatures w14:val="none"/>
        </w:rPr>
        <w:t>. Održani s</w:t>
      </w:r>
      <w:r w:rsidR="00466E54" w:rsidRPr="00FF6677">
        <w:rPr>
          <w:rFonts w:ascii="Times New Roman" w:eastAsia="Calibri" w:hAnsi="Times New Roman" w:cs="Times New Roman"/>
          <w:kern w:val="0"/>
          <w14:ligatures w14:val="none"/>
        </w:rPr>
        <w:t>u</w:t>
      </w:r>
      <w:r w:rsidRPr="00FF6677">
        <w:rPr>
          <w:rFonts w:ascii="Times New Roman" w:eastAsia="Calibri" w:hAnsi="Times New Roman" w:cs="Times New Roman"/>
          <w:kern w:val="0"/>
          <w14:ligatures w14:val="none"/>
        </w:rPr>
        <w:t xml:space="preserve"> Dana hrvatskog filma, </w:t>
      </w:r>
      <w:r w:rsidR="00466E54" w:rsidRPr="00FF6677">
        <w:rPr>
          <w:rFonts w:ascii="Times New Roman" w:eastAsia="Calibri" w:hAnsi="Times New Roman" w:cs="Times New Roman"/>
          <w:kern w:val="0"/>
          <w14:ligatures w14:val="none"/>
        </w:rPr>
        <w:t xml:space="preserve">Festival kaskaderstva </w:t>
      </w:r>
      <w:r w:rsidR="00FF6677" w:rsidRPr="00FF6677">
        <w:rPr>
          <w:rFonts w:ascii="Times New Roman" w:eastAsia="Calibri" w:hAnsi="Times New Roman" w:cs="Times New Roman"/>
          <w:kern w:val="0"/>
          <w14:ligatures w14:val="none"/>
        </w:rPr>
        <w:t>3,</w:t>
      </w:r>
      <w:r w:rsidR="00466E54" w:rsidRPr="00FF6677">
        <w:rPr>
          <w:rFonts w:ascii="Times New Roman" w:eastAsia="Calibri" w:hAnsi="Times New Roman" w:cs="Times New Roman"/>
          <w:kern w:val="0"/>
          <w14:ligatures w14:val="none"/>
        </w:rPr>
        <w:t>2, 1...akcija!</w:t>
      </w:r>
      <w:r w:rsidR="00AD6DB6">
        <w:rPr>
          <w:rFonts w:ascii="Times New Roman" w:eastAsia="Calibri" w:hAnsi="Times New Roman" w:cs="Times New Roman"/>
          <w:kern w:val="0"/>
          <w14:ligatures w14:val="none"/>
        </w:rPr>
        <w:t>, i ostali značajni događaji.</w:t>
      </w:r>
    </w:p>
    <w:p w14:paraId="5BB11A8E" w14:textId="1916C771" w:rsidR="00FF6677" w:rsidRDefault="00FF6677" w:rsidP="00FF6677">
      <w:pPr>
        <w:spacing w:line="276" w:lineRule="auto"/>
        <w:jc w:val="both"/>
        <w:rPr>
          <w:rFonts w:ascii="Times New Roman" w:hAnsi="Times New Roman" w:cs="Times New Roman"/>
        </w:rPr>
      </w:pPr>
      <w:r w:rsidRPr="00FF6677">
        <w:rPr>
          <w:rFonts w:ascii="Times New Roman" w:hAnsi="Times New Roman" w:cs="Times New Roman"/>
        </w:rPr>
        <w:t>Kino Edison aktivno se uključilo u sve tradicionalne karlovačke manifestacije, poput Zvjezdanog ljeta, Dana piva i Adventa</w:t>
      </w:r>
      <w:r>
        <w:rPr>
          <w:rFonts w:ascii="Times New Roman" w:hAnsi="Times New Roman" w:cs="Times New Roman"/>
        </w:rPr>
        <w:t>.</w:t>
      </w:r>
      <w:r w:rsidRPr="00FF6677">
        <w:rPr>
          <w:rFonts w:ascii="Times New Roman" w:hAnsi="Times New Roman" w:cs="Times New Roman"/>
        </w:rPr>
        <w:t xml:space="preserve"> </w:t>
      </w:r>
    </w:p>
    <w:p w14:paraId="001FCA6A" w14:textId="59799996" w:rsidR="00FF6677" w:rsidRDefault="00FF6677" w:rsidP="00FF6677">
      <w:pPr>
        <w:spacing w:line="276" w:lineRule="auto"/>
        <w:jc w:val="both"/>
        <w:rPr>
          <w:rFonts w:ascii="Times New Roman" w:hAnsi="Times New Roman" w:cs="Times New Roman"/>
        </w:rPr>
      </w:pPr>
      <w:r w:rsidRPr="00FF6677">
        <w:rPr>
          <w:rFonts w:ascii="Times New Roman" w:hAnsi="Times New Roman" w:cs="Times New Roman"/>
        </w:rPr>
        <w:t>U 2025. godini broj posjetitelja na organiziranim događajima iznosio je 16.510</w:t>
      </w:r>
      <w:r>
        <w:rPr>
          <w:rFonts w:ascii="Times New Roman" w:hAnsi="Times New Roman" w:cs="Times New Roman"/>
        </w:rPr>
        <w:t>.</w:t>
      </w:r>
      <w:r w:rsidRPr="00FF6677">
        <w:rPr>
          <w:rFonts w:ascii="Times New Roman" w:hAnsi="Times New Roman" w:cs="Times New Roman"/>
        </w:rPr>
        <w:t xml:space="preserve"> </w:t>
      </w:r>
    </w:p>
    <w:p w14:paraId="29122446" w14:textId="06A6DD3A" w:rsidR="00B86365" w:rsidRPr="00FF6677" w:rsidRDefault="0021779B" w:rsidP="00FF6677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10E9D5C" w14:textId="77777777" w:rsidR="004B5D54" w:rsidRDefault="004B5D54" w:rsidP="00442F1D">
      <w:pPr>
        <w:spacing w:after="12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1CF1E8E" w14:textId="77777777" w:rsidR="00B86365" w:rsidRDefault="00B86365" w:rsidP="00442F1D">
      <w:pPr>
        <w:spacing w:after="12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A0EC1BB" w14:textId="77777777" w:rsidR="00B86365" w:rsidRDefault="00B86365" w:rsidP="00442F1D">
      <w:pPr>
        <w:spacing w:after="12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5916E2F" w14:textId="77777777" w:rsidR="00B86365" w:rsidRPr="00070259" w:rsidRDefault="00B86365" w:rsidP="00442F1D">
      <w:pPr>
        <w:spacing w:after="12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F901722" w14:textId="74621141" w:rsidR="00B73F92" w:rsidRDefault="002619ED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D73F1A" w:rsidRPr="00D73F1A">
        <w:rPr>
          <w:noProof/>
        </w:rPr>
        <w:drawing>
          <wp:inline distT="0" distB="0" distL="0" distR="0" wp14:anchorId="386F9D05" wp14:editId="62A4818F">
            <wp:extent cx="5290685" cy="5073589"/>
            <wp:effectExtent l="0" t="0" r="5715" b="0"/>
            <wp:docPr id="60562087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548" cy="50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B1DE5" w14:textId="77777777" w:rsidR="00B86365" w:rsidRDefault="00B86365" w:rsidP="00B86365">
      <w:pPr>
        <w:spacing w:after="120" w:line="276" w:lineRule="auto"/>
        <w:contextualSpacing/>
        <w:jc w:val="both"/>
        <w:rPr>
          <w:rFonts w:ascii="Times New Roman" w:hAnsi="Times New Roman" w:cs="Times New Roman"/>
        </w:rPr>
      </w:pPr>
      <w:r w:rsidRPr="00F770E7">
        <w:rPr>
          <w:rFonts w:ascii="Times New Roman" w:hAnsi="Times New Roman" w:cs="Times New Roman"/>
        </w:rPr>
        <w:t>Najveća stavka programske djelatnosti je nabava filmova,</w:t>
      </w:r>
      <w:r>
        <w:rPr>
          <w:rFonts w:ascii="Times New Roman" w:hAnsi="Times New Roman" w:cs="Times New Roman"/>
        </w:rPr>
        <w:t xml:space="preserve"> odnosno trošak distributera filmova, a slijede troškovi</w:t>
      </w:r>
      <w:r w:rsidRPr="00F770E7">
        <w:rPr>
          <w:rFonts w:ascii="Times New Roman" w:hAnsi="Times New Roman" w:cs="Times New Roman"/>
        </w:rPr>
        <w:t xml:space="preserve"> promi</w:t>
      </w:r>
      <w:r>
        <w:rPr>
          <w:rFonts w:ascii="Times New Roman" w:hAnsi="Times New Roman" w:cs="Times New Roman"/>
        </w:rPr>
        <w:t>dž</w:t>
      </w:r>
      <w:r w:rsidRPr="00F770E7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e</w:t>
      </w:r>
      <w:r w:rsidRPr="00F770E7">
        <w:rPr>
          <w:rFonts w:ascii="Times New Roman" w:hAnsi="Times New Roman" w:cs="Times New Roman"/>
        </w:rPr>
        <w:t>, autorski</w:t>
      </w:r>
      <w:r>
        <w:rPr>
          <w:rFonts w:ascii="Times New Roman" w:hAnsi="Times New Roman" w:cs="Times New Roman"/>
        </w:rPr>
        <w:t>h</w:t>
      </w:r>
      <w:r w:rsidRPr="00F770E7">
        <w:rPr>
          <w:rFonts w:ascii="Times New Roman" w:hAnsi="Times New Roman" w:cs="Times New Roman"/>
        </w:rPr>
        <w:t xml:space="preserve"> honorar</w:t>
      </w:r>
      <w:r>
        <w:rPr>
          <w:rFonts w:ascii="Times New Roman" w:hAnsi="Times New Roman" w:cs="Times New Roman"/>
        </w:rPr>
        <w:t>a</w:t>
      </w:r>
      <w:r w:rsidRPr="00F770E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odnosno troškovi organizacije dvaju velikih festivala, Festivala kaskaderstva i Dana hrvatskog filma. </w:t>
      </w:r>
    </w:p>
    <w:p w14:paraId="63DC57CF" w14:textId="77777777" w:rsidR="001617C1" w:rsidRDefault="001617C1" w:rsidP="00442F1D">
      <w:pPr>
        <w:pStyle w:val="ListParagraph"/>
        <w:spacing w:after="120" w:line="276" w:lineRule="auto"/>
        <w:ind w:left="180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63371F0" w14:textId="1B1DDE0D" w:rsidR="006C273F" w:rsidRDefault="001617C1" w:rsidP="00442F1D">
      <w:pPr>
        <w:pStyle w:val="ListParagraph"/>
        <w:numPr>
          <w:ilvl w:val="0"/>
          <w:numId w:val="9"/>
        </w:num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K600402 – kapitalni projekti</w:t>
      </w:r>
    </w:p>
    <w:p w14:paraId="2079C8B0" w14:textId="4CADC0D2" w:rsidR="001617C1" w:rsidRPr="001617C1" w:rsidRDefault="002619ED" w:rsidP="00442F1D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</w:t>
      </w:r>
      <w:r w:rsidR="001617C1" w:rsidRPr="001617C1">
        <w:rPr>
          <w:noProof/>
        </w:rPr>
        <w:drawing>
          <wp:inline distT="0" distB="0" distL="0" distR="0" wp14:anchorId="11973586" wp14:editId="597F2DD7">
            <wp:extent cx="5304136" cy="569595"/>
            <wp:effectExtent l="0" t="0" r="0" b="1905"/>
            <wp:docPr id="73264804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101" cy="57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198D6" w14:textId="17219E28" w:rsidR="006C273F" w:rsidRPr="005036CD" w:rsidRDefault="00EA6A66" w:rsidP="00442F1D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5036CD">
        <w:rPr>
          <w:rFonts w:ascii="Times New Roman" w:hAnsi="Times New Roman" w:cs="Times New Roman"/>
          <w:color w:val="000000" w:themeColor="text1"/>
        </w:rPr>
        <w:t xml:space="preserve">Ukupni rashodi svih aktivnosti iznose  </w:t>
      </w:r>
      <w:r w:rsidR="005036CD" w:rsidRPr="005036CD">
        <w:rPr>
          <w:rFonts w:ascii="Times New Roman" w:hAnsi="Times New Roman" w:cs="Times New Roman"/>
          <w:color w:val="000000" w:themeColor="text1"/>
        </w:rPr>
        <w:t>701.020,70</w:t>
      </w:r>
      <w:r w:rsidRPr="005036CD">
        <w:rPr>
          <w:rFonts w:ascii="Times New Roman" w:hAnsi="Times New Roman" w:cs="Times New Roman"/>
          <w:color w:val="000000" w:themeColor="text1"/>
        </w:rPr>
        <w:t xml:space="preserve"> eur-</w:t>
      </w:r>
      <w:r w:rsidR="005036CD" w:rsidRPr="005036CD">
        <w:rPr>
          <w:rFonts w:ascii="Times New Roman" w:hAnsi="Times New Roman" w:cs="Times New Roman"/>
          <w:color w:val="000000" w:themeColor="text1"/>
        </w:rPr>
        <w:t>a</w:t>
      </w:r>
      <w:r w:rsidRPr="005036CD">
        <w:rPr>
          <w:rFonts w:ascii="Times New Roman" w:hAnsi="Times New Roman" w:cs="Times New Roman"/>
          <w:color w:val="000000" w:themeColor="text1"/>
        </w:rPr>
        <w:t xml:space="preserve">. </w:t>
      </w:r>
      <w:r w:rsidR="00B27C49" w:rsidRPr="005036CD">
        <w:rPr>
          <w:rFonts w:ascii="Times New Roman" w:hAnsi="Times New Roman" w:cs="Times New Roman"/>
          <w:color w:val="000000" w:themeColor="text1"/>
        </w:rPr>
        <w:t xml:space="preserve"> </w:t>
      </w:r>
    </w:p>
    <w:p w14:paraId="02FD116D" w14:textId="77777777" w:rsidR="006C453C" w:rsidRPr="000C7BE3" w:rsidRDefault="006C453C" w:rsidP="00442F1D">
      <w:pPr>
        <w:spacing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2AA8C97" w14:textId="77777777" w:rsidR="00FE6FBC" w:rsidRDefault="00FE6FBC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65E34674" w14:textId="77777777" w:rsidR="00B86365" w:rsidRDefault="00B86365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370177D8" w14:textId="77777777" w:rsidR="00070259" w:rsidRDefault="00070259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2A29A460" w14:textId="5C0B4275" w:rsidR="00FE6FBC" w:rsidRPr="00E30950" w:rsidRDefault="00F912D5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E30950">
        <w:rPr>
          <w:rFonts w:ascii="Times New Roman" w:hAnsi="Times New Roman" w:cs="Times New Roman"/>
        </w:rPr>
        <w:t>Prilog ovom izvještaju kao njegov s</w:t>
      </w:r>
      <w:r w:rsidR="00FE6FBC" w:rsidRPr="00E30950">
        <w:rPr>
          <w:rFonts w:ascii="Times New Roman" w:hAnsi="Times New Roman" w:cs="Times New Roman"/>
        </w:rPr>
        <w:t>astavni dio su sljedeći izvještaji:</w:t>
      </w:r>
    </w:p>
    <w:p w14:paraId="0704BF66" w14:textId="25375E9C" w:rsidR="00FE6FBC" w:rsidRPr="00E30950" w:rsidRDefault="00FE6FBC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E30950">
        <w:rPr>
          <w:rFonts w:ascii="Times New Roman" w:hAnsi="Times New Roman" w:cs="Times New Roman"/>
        </w:rPr>
        <w:t>1. Opći dio:</w:t>
      </w:r>
    </w:p>
    <w:p w14:paraId="1BEB8481" w14:textId="733A5E84" w:rsidR="00FE6FBC" w:rsidRPr="00E30950" w:rsidRDefault="00FE6FBC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E30950">
        <w:rPr>
          <w:rFonts w:ascii="Times New Roman" w:hAnsi="Times New Roman" w:cs="Times New Roman"/>
        </w:rPr>
        <w:t xml:space="preserve">- Izvještaj o izvršenju </w:t>
      </w:r>
      <w:r w:rsidR="0018242F" w:rsidRPr="00E30950">
        <w:rPr>
          <w:rFonts w:ascii="Times New Roman" w:hAnsi="Times New Roman" w:cs="Times New Roman"/>
        </w:rPr>
        <w:t>financijskog plana</w:t>
      </w:r>
    </w:p>
    <w:p w14:paraId="11BBDF2A" w14:textId="694D16A8" w:rsidR="00FE6FBC" w:rsidRPr="00E30950" w:rsidRDefault="00FE6FBC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E30950">
        <w:rPr>
          <w:rFonts w:ascii="Times New Roman" w:hAnsi="Times New Roman" w:cs="Times New Roman"/>
        </w:rPr>
        <w:t>-Prihodi i rashodi prema ekonomskoj klasifikaciji</w:t>
      </w:r>
    </w:p>
    <w:p w14:paraId="1E674805" w14:textId="61121783" w:rsidR="00FE6FBC" w:rsidRPr="00E30950" w:rsidRDefault="00FE6FBC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E30950">
        <w:rPr>
          <w:rFonts w:ascii="Times New Roman" w:hAnsi="Times New Roman" w:cs="Times New Roman"/>
        </w:rPr>
        <w:t>-Prihodi i rashodi prema izvorima financiranja</w:t>
      </w:r>
    </w:p>
    <w:p w14:paraId="051E5755" w14:textId="1E373E01" w:rsidR="00FE6FBC" w:rsidRPr="00E30950" w:rsidRDefault="00FE6FBC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E30950">
        <w:rPr>
          <w:rFonts w:ascii="Times New Roman" w:hAnsi="Times New Roman" w:cs="Times New Roman"/>
        </w:rPr>
        <w:t>-Rashodi prema funkcijskoj klasifikaciji</w:t>
      </w:r>
    </w:p>
    <w:p w14:paraId="2FFDC018" w14:textId="3A87B4F3" w:rsidR="00FE6FBC" w:rsidRPr="00E30950" w:rsidRDefault="00FE6FBC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E30950">
        <w:rPr>
          <w:rFonts w:ascii="Times New Roman" w:hAnsi="Times New Roman" w:cs="Times New Roman"/>
        </w:rPr>
        <w:t>-Račun financiranja prema ekonomskoj klasifikaciji</w:t>
      </w:r>
    </w:p>
    <w:p w14:paraId="3ACA6C3A" w14:textId="2148D4E8" w:rsidR="00FE6FBC" w:rsidRPr="00E30950" w:rsidRDefault="0018242F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E30950">
        <w:rPr>
          <w:rFonts w:ascii="Times New Roman" w:hAnsi="Times New Roman" w:cs="Times New Roman"/>
        </w:rPr>
        <w:t>-</w:t>
      </w:r>
      <w:r w:rsidR="00FE6FBC" w:rsidRPr="00E30950">
        <w:rPr>
          <w:rFonts w:ascii="Times New Roman" w:hAnsi="Times New Roman" w:cs="Times New Roman"/>
        </w:rPr>
        <w:t>Račun financiranja prema izvorima financiranja</w:t>
      </w:r>
    </w:p>
    <w:p w14:paraId="55248E80" w14:textId="77777777" w:rsidR="00F912D5" w:rsidRPr="00E30950" w:rsidRDefault="00F912D5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40ECAB5D" w14:textId="74C14F20" w:rsidR="00F912D5" w:rsidRPr="00E30950" w:rsidRDefault="00F912D5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E30950">
        <w:rPr>
          <w:rFonts w:ascii="Times New Roman" w:hAnsi="Times New Roman" w:cs="Times New Roman"/>
        </w:rPr>
        <w:t>2. Posebni dio</w:t>
      </w:r>
    </w:p>
    <w:p w14:paraId="659AE252" w14:textId="060BE39B" w:rsidR="00F912D5" w:rsidRPr="00E30950" w:rsidRDefault="00F912D5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E30950">
        <w:rPr>
          <w:rFonts w:ascii="Times New Roman" w:hAnsi="Times New Roman" w:cs="Times New Roman"/>
        </w:rPr>
        <w:t>-Izvršenje p</w:t>
      </w:r>
      <w:r w:rsidR="0018242F" w:rsidRPr="00E30950">
        <w:rPr>
          <w:rFonts w:ascii="Times New Roman" w:hAnsi="Times New Roman" w:cs="Times New Roman"/>
        </w:rPr>
        <w:t>rema</w:t>
      </w:r>
      <w:r w:rsidRPr="00E30950">
        <w:rPr>
          <w:rFonts w:ascii="Times New Roman" w:hAnsi="Times New Roman" w:cs="Times New Roman"/>
        </w:rPr>
        <w:t xml:space="preserve"> programskoj klasifikaciji.</w:t>
      </w:r>
    </w:p>
    <w:p w14:paraId="6D4C2BA9" w14:textId="77777777" w:rsidR="00D615A0" w:rsidRPr="00E30950" w:rsidRDefault="00D615A0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4AEAF2F7" w14:textId="77777777" w:rsidR="00D615A0" w:rsidRPr="00E30950" w:rsidRDefault="00D615A0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46A18F5A" w14:textId="77777777" w:rsidR="00D615A0" w:rsidRPr="00E30950" w:rsidRDefault="00D615A0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4775CEDE" w14:textId="5CAEB7F2" w:rsidR="00D615A0" w:rsidRPr="00E30950" w:rsidRDefault="00D615A0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E30950">
        <w:rPr>
          <w:rFonts w:ascii="Times New Roman" w:hAnsi="Times New Roman" w:cs="Times New Roman"/>
        </w:rPr>
        <w:t xml:space="preserve">                                                                                                     Ravnatelj:</w:t>
      </w:r>
    </w:p>
    <w:p w14:paraId="59DDCAB4" w14:textId="0788F2DA" w:rsidR="00D615A0" w:rsidRPr="00E30950" w:rsidRDefault="00D615A0" w:rsidP="00442F1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E30950">
        <w:rPr>
          <w:rFonts w:ascii="Times New Roman" w:hAnsi="Times New Roman" w:cs="Times New Roman"/>
        </w:rPr>
        <w:t xml:space="preserve">                                                                                                Ivan Gojmerac, mag.oec.</w:t>
      </w:r>
    </w:p>
    <w:sectPr w:rsidR="00D615A0" w:rsidRPr="00E30950" w:rsidSect="00F06E6C">
      <w:headerReference w:type="default" r:id="rId30"/>
      <w:footerReference w:type="default" r:id="rId31"/>
      <w:headerReference w:type="first" r:id="rId32"/>
      <w:pgSz w:w="12240" w:h="15840"/>
      <w:pgMar w:top="1134" w:right="1418" w:bottom="1418" w:left="1418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A1339" w14:textId="77777777" w:rsidR="00B66CBB" w:rsidRPr="002F5960" w:rsidRDefault="00B66CBB" w:rsidP="0005491D">
      <w:pPr>
        <w:spacing w:after="0" w:line="240" w:lineRule="auto"/>
      </w:pPr>
      <w:r w:rsidRPr="002F5960">
        <w:separator/>
      </w:r>
    </w:p>
  </w:endnote>
  <w:endnote w:type="continuationSeparator" w:id="0">
    <w:p w14:paraId="2898B034" w14:textId="77777777" w:rsidR="00B66CBB" w:rsidRPr="002F5960" w:rsidRDefault="00B66CBB" w:rsidP="0005491D">
      <w:pPr>
        <w:spacing w:after="0" w:line="240" w:lineRule="auto"/>
      </w:pPr>
      <w:r w:rsidRPr="002F596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7299261"/>
      <w:docPartObj>
        <w:docPartGallery w:val="Page Numbers (Bottom of Page)"/>
        <w:docPartUnique/>
      </w:docPartObj>
    </w:sdtPr>
    <w:sdtContent>
      <w:p w14:paraId="40DCDA55" w14:textId="62DBF9A5" w:rsidR="00F06E6C" w:rsidRDefault="00F06E6C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7CA882E9" wp14:editId="0225EAF0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056074943" name="Rectang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B3266B" w14:textId="77777777" w:rsidR="00F06E6C" w:rsidRPr="00F06E6C" w:rsidRDefault="00F06E6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F06E6C">
                                <w:rPr>
                                  <w:color w:val="000000" w:themeColor="text1"/>
                                </w:rPr>
                                <w:fldChar w:fldCharType="begin"/>
                              </w:r>
                              <w:r w:rsidRPr="00F06E6C">
                                <w:rPr>
                                  <w:color w:val="000000" w:themeColor="text1"/>
                                </w:rPr>
                                <w:instrText xml:space="preserve"> PAGE   \* MERGEFORMAT </w:instrText>
                              </w:r>
                              <w:r w:rsidRPr="00F06E6C">
                                <w:rPr>
                                  <w:color w:val="000000" w:themeColor="text1"/>
                                </w:rPr>
                                <w:fldChar w:fldCharType="separate"/>
                              </w:r>
                              <w:r w:rsidRPr="00F06E6C">
                                <w:rPr>
                                  <w:noProof/>
                                  <w:color w:val="000000" w:themeColor="text1"/>
                                </w:rPr>
                                <w:t>2</w:t>
                              </w:r>
                              <w:r w:rsidRPr="00F06E6C">
                                <w:rPr>
                                  <w:noProof/>
                                  <w:color w:val="000000" w:themeColor="tex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CA882E9" id="Rectangle 5" o:spid="_x0000_s1026" style="position:absolute;margin-left:0;margin-top:0;width:44.55pt;height:15.1pt;rotation:180;flip:x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67B3266B" w14:textId="77777777" w:rsidR="00F06E6C" w:rsidRPr="00F06E6C" w:rsidRDefault="00F06E6C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000000" w:themeColor="text1"/>
                          </w:rPr>
                        </w:pPr>
                        <w:r w:rsidRPr="00F06E6C">
                          <w:rPr>
                            <w:color w:val="000000" w:themeColor="text1"/>
                          </w:rPr>
                          <w:fldChar w:fldCharType="begin"/>
                        </w:r>
                        <w:r w:rsidRPr="00F06E6C">
                          <w:rPr>
                            <w:color w:val="000000" w:themeColor="text1"/>
                          </w:rPr>
                          <w:instrText xml:space="preserve"> PAGE   \* MERGEFORMAT </w:instrText>
                        </w:r>
                        <w:r w:rsidRPr="00F06E6C">
                          <w:rPr>
                            <w:color w:val="000000" w:themeColor="text1"/>
                          </w:rPr>
                          <w:fldChar w:fldCharType="separate"/>
                        </w:r>
                        <w:r w:rsidRPr="00F06E6C">
                          <w:rPr>
                            <w:noProof/>
                            <w:color w:val="000000" w:themeColor="text1"/>
                          </w:rPr>
                          <w:t>2</w:t>
                        </w:r>
                        <w:r w:rsidRPr="00F06E6C">
                          <w:rPr>
                            <w:noProof/>
                            <w:color w:val="000000" w:themeColor="tex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DA4E6" w14:textId="77777777" w:rsidR="00B66CBB" w:rsidRPr="002F5960" w:rsidRDefault="00B66CBB" w:rsidP="0005491D">
      <w:pPr>
        <w:spacing w:after="0" w:line="240" w:lineRule="auto"/>
      </w:pPr>
      <w:r w:rsidRPr="002F5960">
        <w:separator/>
      </w:r>
    </w:p>
  </w:footnote>
  <w:footnote w:type="continuationSeparator" w:id="0">
    <w:p w14:paraId="7EAED578" w14:textId="77777777" w:rsidR="00B66CBB" w:rsidRPr="002F5960" w:rsidRDefault="00B66CBB" w:rsidP="0005491D">
      <w:pPr>
        <w:spacing w:after="0" w:line="240" w:lineRule="auto"/>
      </w:pPr>
      <w:r w:rsidRPr="002F596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3AEA0" w14:textId="6BD186B0" w:rsidR="0018242F" w:rsidRDefault="006C453C" w:rsidP="003F2F9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28F2F0" wp14:editId="54ADF582">
              <wp:simplePos x="0" y="0"/>
              <wp:positionH relativeFrom="column">
                <wp:posOffset>-205528</wp:posOffset>
              </wp:positionH>
              <wp:positionV relativeFrom="paragraph">
                <wp:posOffset>473287</wp:posOffset>
              </wp:positionV>
              <wp:extent cx="6282266" cy="8466"/>
              <wp:effectExtent l="0" t="0" r="23495" b="29845"/>
              <wp:wrapNone/>
              <wp:docPr id="10037823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2266" cy="8466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AEDEDE" id="Straight Connector 1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2pt,37.25pt" to="478.45pt,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" strokecolor="black [3213]" strokeweight=".25pt"/>
          </w:pict>
        </mc:Fallback>
      </mc:AlternateContent>
    </w:r>
    <w:r w:rsidR="0018242F">
      <w:rPr>
        <w:noProof/>
      </w:rPr>
      <w:drawing>
        <wp:inline distT="0" distB="0" distL="0" distR="0" wp14:anchorId="59731A59" wp14:editId="255525C7">
          <wp:extent cx="1083733" cy="515196"/>
          <wp:effectExtent l="0" t="0" r="0" b="0"/>
          <wp:docPr id="1461577020" name="Slik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5840" cy="535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EB7D0" w14:textId="77777777" w:rsidR="00753E37" w:rsidRPr="00753E37" w:rsidRDefault="00753E37" w:rsidP="00753E37">
    <w:pPr>
      <w:jc w:val="center"/>
      <w:rPr>
        <w:rFonts w:ascii="Times New Roman" w:hAnsi="Times New Roman" w:cs="Times New Roman"/>
        <w:sz w:val="20"/>
        <w:szCs w:val="20"/>
      </w:rPr>
    </w:pPr>
    <w:bookmarkStart w:id="5" w:name="_Hlk161150245"/>
    <w:bookmarkEnd w:id="5"/>
    <w:r w:rsidRPr="00753E37">
      <w:rPr>
        <w:rFonts w:ascii="Times New Roman" w:hAnsi="Times New Roman" w:cs="Times New Roman"/>
        <w:sz w:val="20"/>
        <w:szCs w:val="20"/>
      </w:rPr>
      <w:t>Ustanova „Kino Edison, multimedijski centar za kulturno-turističke sadržaje“</w:t>
    </w:r>
  </w:p>
  <w:p w14:paraId="5CCE6FEA" w14:textId="77777777" w:rsidR="00753E37" w:rsidRPr="00753E37" w:rsidRDefault="00753E37" w:rsidP="00753E37">
    <w:pPr>
      <w:jc w:val="center"/>
      <w:rPr>
        <w:rFonts w:ascii="Times New Roman" w:hAnsi="Times New Roman" w:cs="Times New Roman"/>
        <w:sz w:val="20"/>
        <w:szCs w:val="20"/>
      </w:rPr>
    </w:pPr>
    <w:r w:rsidRPr="00753E37">
      <w:rPr>
        <w:rFonts w:ascii="Times New Roman" w:hAnsi="Times New Roman" w:cs="Times New Roman"/>
        <w:sz w:val="20"/>
        <w:szCs w:val="20"/>
      </w:rPr>
      <w:t>Šetalište dr. Franje Tuđmana 13, 47000 Karlovac</w:t>
    </w:r>
  </w:p>
  <w:p w14:paraId="2882ADF0" w14:textId="0F32ECAF" w:rsidR="00F06E6C" w:rsidRPr="00753E37" w:rsidRDefault="00F06E6C" w:rsidP="00753E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579DA"/>
    <w:multiLevelType w:val="hybridMultilevel"/>
    <w:tmpl w:val="3F3C62D2"/>
    <w:lvl w:ilvl="0" w:tplc="ED00AD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B7E2E"/>
    <w:multiLevelType w:val="hybridMultilevel"/>
    <w:tmpl w:val="149034BE"/>
    <w:lvl w:ilvl="0" w:tplc="E9A04C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343CE"/>
    <w:multiLevelType w:val="hybridMultilevel"/>
    <w:tmpl w:val="205498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C5D4522"/>
    <w:multiLevelType w:val="multilevel"/>
    <w:tmpl w:val="E36AE4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C6A40D0"/>
    <w:multiLevelType w:val="hybridMultilevel"/>
    <w:tmpl w:val="29FCFDD8"/>
    <w:lvl w:ilvl="0" w:tplc="8F5E831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4648AC"/>
    <w:multiLevelType w:val="multilevel"/>
    <w:tmpl w:val="66CE6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9112D2"/>
    <w:multiLevelType w:val="hybridMultilevel"/>
    <w:tmpl w:val="E8523CCA"/>
    <w:lvl w:ilvl="0" w:tplc="0A1C38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80324"/>
    <w:multiLevelType w:val="hybridMultilevel"/>
    <w:tmpl w:val="BEBCA878"/>
    <w:lvl w:ilvl="0" w:tplc="978072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92742"/>
    <w:multiLevelType w:val="hybridMultilevel"/>
    <w:tmpl w:val="2C24B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11DA8"/>
    <w:multiLevelType w:val="multilevel"/>
    <w:tmpl w:val="C16AAE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0" w15:restartNumberingAfterBreak="0">
    <w:nsid w:val="53563EEC"/>
    <w:multiLevelType w:val="multilevel"/>
    <w:tmpl w:val="35EE3BA0"/>
    <w:lvl w:ilvl="0">
      <w:start w:val="2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1" w:hanging="6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8" w:hanging="1440"/>
      </w:pPr>
      <w:rPr>
        <w:rFonts w:hint="default"/>
      </w:rPr>
    </w:lvl>
  </w:abstractNum>
  <w:abstractNum w:abstractNumId="11" w15:restartNumberingAfterBreak="0">
    <w:nsid w:val="6FBE2A75"/>
    <w:multiLevelType w:val="hybridMultilevel"/>
    <w:tmpl w:val="31305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145D0"/>
    <w:multiLevelType w:val="hybridMultilevel"/>
    <w:tmpl w:val="37DC4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7215CB"/>
    <w:multiLevelType w:val="hybridMultilevel"/>
    <w:tmpl w:val="28BE77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295A59"/>
    <w:multiLevelType w:val="hybridMultilevel"/>
    <w:tmpl w:val="AEF0D240"/>
    <w:lvl w:ilvl="0" w:tplc="ED00AD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02F4A"/>
    <w:multiLevelType w:val="hybridMultilevel"/>
    <w:tmpl w:val="67A6A2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68050687">
    <w:abstractNumId w:val="5"/>
  </w:num>
  <w:num w:numId="2" w16cid:durableId="173421884">
    <w:abstractNumId w:val="6"/>
  </w:num>
  <w:num w:numId="3" w16cid:durableId="1772896815">
    <w:abstractNumId w:val="4"/>
  </w:num>
  <w:num w:numId="4" w16cid:durableId="1766464516">
    <w:abstractNumId w:val="13"/>
  </w:num>
  <w:num w:numId="5" w16cid:durableId="18241451">
    <w:abstractNumId w:val="12"/>
  </w:num>
  <w:num w:numId="6" w16cid:durableId="586882866">
    <w:abstractNumId w:val="11"/>
  </w:num>
  <w:num w:numId="7" w16cid:durableId="1637445598">
    <w:abstractNumId w:val="0"/>
  </w:num>
  <w:num w:numId="8" w16cid:durableId="1002077488">
    <w:abstractNumId w:val="14"/>
  </w:num>
  <w:num w:numId="9" w16cid:durableId="2008287169">
    <w:abstractNumId w:val="2"/>
  </w:num>
  <w:num w:numId="10" w16cid:durableId="2021001299">
    <w:abstractNumId w:val="1"/>
  </w:num>
  <w:num w:numId="11" w16cid:durableId="208152703">
    <w:abstractNumId w:val="15"/>
  </w:num>
  <w:num w:numId="12" w16cid:durableId="1932931553">
    <w:abstractNumId w:val="8"/>
  </w:num>
  <w:num w:numId="13" w16cid:durableId="332420613">
    <w:abstractNumId w:val="3"/>
  </w:num>
  <w:num w:numId="14" w16cid:durableId="186063566">
    <w:abstractNumId w:val="9"/>
  </w:num>
  <w:num w:numId="15" w16cid:durableId="189148744">
    <w:abstractNumId w:val="7"/>
  </w:num>
  <w:num w:numId="16" w16cid:durableId="17032893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AE4"/>
    <w:rsid w:val="0000042B"/>
    <w:rsid w:val="00021039"/>
    <w:rsid w:val="0002684B"/>
    <w:rsid w:val="000522C0"/>
    <w:rsid w:val="0005491D"/>
    <w:rsid w:val="00056655"/>
    <w:rsid w:val="00057F16"/>
    <w:rsid w:val="00070259"/>
    <w:rsid w:val="0008039E"/>
    <w:rsid w:val="00080664"/>
    <w:rsid w:val="000A42F2"/>
    <w:rsid w:val="000C1F07"/>
    <w:rsid w:val="000C1FF7"/>
    <w:rsid w:val="000C7BE3"/>
    <w:rsid w:val="000D2134"/>
    <w:rsid w:val="000F6491"/>
    <w:rsid w:val="00100353"/>
    <w:rsid w:val="00104613"/>
    <w:rsid w:val="00112423"/>
    <w:rsid w:val="00114E49"/>
    <w:rsid w:val="00121866"/>
    <w:rsid w:val="001228B9"/>
    <w:rsid w:val="001402C0"/>
    <w:rsid w:val="00142CF2"/>
    <w:rsid w:val="001536D0"/>
    <w:rsid w:val="001617C1"/>
    <w:rsid w:val="0018242F"/>
    <w:rsid w:val="001A02D8"/>
    <w:rsid w:val="0021779B"/>
    <w:rsid w:val="00225173"/>
    <w:rsid w:val="0025582D"/>
    <w:rsid w:val="002619ED"/>
    <w:rsid w:val="0028248A"/>
    <w:rsid w:val="002B206A"/>
    <w:rsid w:val="002D3E2A"/>
    <w:rsid w:val="002D4DEA"/>
    <w:rsid w:val="002F5960"/>
    <w:rsid w:val="003051D4"/>
    <w:rsid w:val="00313FE8"/>
    <w:rsid w:val="0031587C"/>
    <w:rsid w:val="00337888"/>
    <w:rsid w:val="00340DDA"/>
    <w:rsid w:val="00347D75"/>
    <w:rsid w:val="003862CE"/>
    <w:rsid w:val="003F2F98"/>
    <w:rsid w:val="00416AF7"/>
    <w:rsid w:val="004204C9"/>
    <w:rsid w:val="00442F1D"/>
    <w:rsid w:val="00466E54"/>
    <w:rsid w:val="00492287"/>
    <w:rsid w:val="00492DFC"/>
    <w:rsid w:val="004933C9"/>
    <w:rsid w:val="0049426E"/>
    <w:rsid w:val="004B53F5"/>
    <w:rsid w:val="004B5D54"/>
    <w:rsid w:val="005036CD"/>
    <w:rsid w:val="00511834"/>
    <w:rsid w:val="00521291"/>
    <w:rsid w:val="0054298C"/>
    <w:rsid w:val="005C375E"/>
    <w:rsid w:val="005D06BF"/>
    <w:rsid w:val="005E47EC"/>
    <w:rsid w:val="005F7893"/>
    <w:rsid w:val="00637089"/>
    <w:rsid w:val="00637AE4"/>
    <w:rsid w:val="006417B8"/>
    <w:rsid w:val="00650858"/>
    <w:rsid w:val="006A3237"/>
    <w:rsid w:val="006A5F21"/>
    <w:rsid w:val="006C273F"/>
    <w:rsid w:val="006C453C"/>
    <w:rsid w:val="006D078C"/>
    <w:rsid w:val="006D11E4"/>
    <w:rsid w:val="007141C9"/>
    <w:rsid w:val="00753E37"/>
    <w:rsid w:val="00771650"/>
    <w:rsid w:val="0079286B"/>
    <w:rsid w:val="007C215A"/>
    <w:rsid w:val="007D43AE"/>
    <w:rsid w:val="007E6A92"/>
    <w:rsid w:val="007F0D8B"/>
    <w:rsid w:val="007F29EB"/>
    <w:rsid w:val="008130C0"/>
    <w:rsid w:val="008164E3"/>
    <w:rsid w:val="00820CCC"/>
    <w:rsid w:val="0084199A"/>
    <w:rsid w:val="00846B44"/>
    <w:rsid w:val="00867326"/>
    <w:rsid w:val="008979EC"/>
    <w:rsid w:val="008F4CD4"/>
    <w:rsid w:val="008F6C6A"/>
    <w:rsid w:val="00915553"/>
    <w:rsid w:val="00946A12"/>
    <w:rsid w:val="0096634E"/>
    <w:rsid w:val="00995B84"/>
    <w:rsid w:val="009B4A47"/>
    <w:rsid w:val="009D245B"/>
    <w:rsid w:val="009D6F11"/>
    <w:rsid w:val="009E3AF0"/>
    <w:rsid w:val="00A14A6A"/>
    <w:rsid w:val="00A21D9D"/>
    <w:rsid w:val="00A34281"/>
    <w:rsid w:val="00A6148E"/>
    <w:rsid w:val="00A8422D"/>
    <w:rsid w:val="00A859F0"/>
    <w:rsid w:val="00A87B03"/>
    <w:rsid w:val="00A87E53"/>
    <w:rsid w:val="00AA110A"/>
    <w:rsid w:val="00AB1DCB"/>
    <w:rsid w:val="00AB757A"/>
    <w:rsid w:val="00AD6DB6"/>
    <w:rsid w:val="00AE6894"/>
    <w:rsid w:val="00B27C49"/>
    <w:rsid w:val="00B33A19"/>
    <w:rsid w:val="00B450DB"/>
    <w:rsid w:val="00B618CB"/>
    <w:rsid w:val="00B66CBB"/>
    <w:rsid w:val="00B73F92"/>
    <w:rsid w:val="00B86365"/>
    <w:rsid w:val="00B87338"/>
    <w:rsid w:val="00BB219A"/>
    <w:rsid w:val="00BC3931"/>
    <w:rsid w:val="00C04D5A"/>
    <w:rsid w:val="00C07E43"/>
    <w:rsid w:val="00C14453"/>
    <w:rsid w:val="00C26CE2"/>
    <w:rsid w:val="00C3587B"/>
    <w:rsid w:val="00C45315"/>
    <w:rsid w:val="00C64FC1"/>
    <w:rsid w:val="00C6570D"/>
    <w:rsid w:val="00C836EE"/>
    <w:rsid w:val="00CA2D62"/>
    <w:rsid w:val="00CB6A30"/>
    <w:rsid w:val="00CC7200"/>
    <w:rsid w:val="00CD0EF0"/>
    <w:rsid w:val="00CE4EB7"/>
    <w:rsid w:val="00CE517A"/>
    <w:rsid w:val="00CF076D"/>
    <w:rsid w:val="00CF4205"/>
    <w:rsid w:val="00D10593"/>
    <w:rsid w:val="00D15FB0"/>
    <w:rsid w:val="00D311FF"/>
    <w:rsid w:val="00D370BE"/>
    <w:rsid w:val="00D615A0"/>
    <w:rsid w:val="00D73F1A"/>
    <w:rsid w:val="00D874FA"/>
    <w:rsid w:val="00DA3267"/>
    <w:rsid w:val="00DB5482"/>
    <w:rsid w:val="00DF356A"/>
    <w:rsid w:val="00DF374C"/>
    <w:rsid w:val="00E03569"/>
    <w:rsid w:val="00E06F55"/>
    <w:rsid w:val="00E2673A"/>
    <w:rsid w:val="00E30950"/>
    <w:rsid w:val="00E3372A"/>
    <w:rsid w:val="00E40FD1"/>
    <w:rsid w:val="00E8413A"/>
    <w:rsid w:val="00E90E03"/>
    <w:rsid w:val="00E95334"/>
    <w:rsid w:val="00EA100E"/>
    <w:rsid w:val="00EA6A66"/>
    <w:rsid w:val="00EB50BE"/>
    <w:rsid w:val="00ED2B25"/>
    <w:rsid w:val="00F06E6C"/>
    <w:rsid w:val="00F31997"/>
    <w:rsid w:val="00F53A63"/>
    <w:rsid w:val="00F613ED"/>
    <w:rsid w:val="00F770E7"/>
    <w:rsid w:val="00F8618B"/>
    <w:rsid w:val="00F912D5"/>
    <w:rsid w:val="00FA479E"/>
    <w:rsid w:val="00FB1868"/>
    <w:rsid w:val="00FC48E1"/>
    <w:rsid w:val="00FD3D8C"/>
    <w:rsid w:val="00FE6FBC"/>
    <w:rsid w:val="00FF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BEC9D6"/>
  <w15:chartTrackingRefBased/>
  <w15:docId w15:val="{BE8D8866-4B29-4E13-8E87-841A646DD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6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ox474667">
    <w:name w:val="box_474667"/>
    <w:basedOn w:val="Normal"/>
    <w:rsid w:val="00C35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5491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91D"/>
  </w:style>
  <w:style w:type="paragraph" w:styleId="Footer">
    <w:name w:val="footer"/>
    <w:basedOn w:val="Normal"/>
    <w:link w:val="FooterChar"/>
    <w:uiPriority w:val="99"/>
    <w:unhideWhenUsed/>
    <w:rsid w:val="0005491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91D"/>
  </w:style>
  <w:style w:type="paragraph" w:styleId="ListParagraph">
    <w:name w:val="List Paragraph"/>
    <w:basedOn w:val="Normal"/>
    <w:uiPriority w:val="34"/>
    <w:qFormat/>
    <w:rsid w:val="007141C9"/>
    <w:pPr>
      <w:ind w:left="720"/>
      <w:contextualSpacing/>
    </w:pPr>
  </w:style>
  <w:style w:type="table" w:styleId="TableGrid">
    <w:name w:val="Table Grid"/>
    <w:basedOn w:val="TableNormal"/>
    <w:uiPriority w:val="39"/>
    <w:rsid w:val="00946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C7BE3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0C7BE3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Layout" Target="diagrams/layout1.xml"/><Relationship Id="rId18" Type="http://schemas.openxmlformats.org/officeDocument/2006/relationships/image" Target="media/image3.emf"/><Relationship Id="rId26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image" Target="media/image5.em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chart" Target="charts/chart3.xml"/><Relationship Id="rId25" Type="http://schemas.openxmlformats.org/officeDocument/2006/relationships/chart" Target="charts/chart6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image" Target="media/image4.emf"/><Relationship Id="rId29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image" Target="media/image7.emf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23" Type="http://schemas.openxmlformats.org/officeDocument/2006/relationships/chart" Target="charts/chart5.xml"/><Relationship Id="rId28" Type="http://schemas.openxmlformats.org/officeDocument/2006/relationships/image" Target="media/image10.emf"/><Relationship Id="rId10" Type="http://schemas.openxmlformats.org/officeDocument/2006/relationships/image" Target="media/image2.emf"/><Relationship Id="rId19" Type="http://schemas.openxmlformats.org/officeDocument/2006/relationships/chart" Target="charts/chart4.xm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diagramQuickStyle" Target="diagrams/quickStyle1.xml"/><Relationship Id="rId22" Type="http://schemas.openxmlformats.org/officeDocument/2006/relationships/image" Target="media/image6.emf"/><Relationship Id="rId27" Type="http://schemas.openxmlformats.org/officeDocument/2006/relationships/image" Target="media/image9.emf"/><Relationship Id="rId30" Type="http://schemas.openxmlformats.org/officeDocument/2006/relationships/header" Target="header1.xml"/><Relationship Id="rId8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800">
                <a:latin typeface="Times New Roman" panose="02020603050405020304" pitchFamily="18" charset="0"/>
                <a:cs typeface="Times New Roman" panose="02020603050405020304" pitchFamily="18" charset="0"/>
              </a:rPr>
              <a:t>PRIHODI</a:t>
            </a:r>
            <a:r>
              <a:rPr lang="en-US" sz="8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- plan / realizacija</a:t>
            </a:r>
            <a:endParaRPr lang="en-US" sz="8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35828057676564162"/>
          <c:y val="8.9545159796201972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5484450211513823"/>
          <c:y val="0.16984678091709121"/>
          <c:w val="0.61468680111706264"/>
          <c:h val="0.6796227883279295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planirano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Sheet1!$A$2:$A$3</c:f>
              <c:strCache>
                <c:ptCount val="2"/>
                <c:pt idx="0">
                  <c:v>prihodi proračuna</c:v>
                </c:pt>
                <c:pt idx="1">
                  <c:v>vlastiti prihodi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570800</c:v>
                </c:pt>
                <c:pt idx="1">
                  <c:v>246720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21-4D54-A0C2-891994A3BBB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realizirano</c:v>
                </c:pt>
              </c:strCache>
            </c:strRef>
          </c:tx>
          <c:spPr>
            <a:solidFill>
              <a:schemeClr val="accent4">
                <a:lumMod val="20000"/>
                <a:lumOff val="8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Sheet1!$A$2:$A$3</c:f>
              <c:strCache>
                <c:ptCount val="2"/>
                <c:pt idx="0">
                  <c:v>prihodi proračuna</c:v>
                </c:pt>
                <c:pt idx="1">
                  <c:v>vlastiti prihodi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412248.36</c:v>
                </c:pt>
                <c:pt idx="1">
                  <c:v>239271.38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421-4D54-A0C2-891994A3BB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34637856"/>
        <c:axId val="334634976"/>
        <c:axId val="0"/>
      </c:bar3DChart>
      <c:catAx>
        <c:axId val="334637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34634976"/>
        <c:crosses val="autoZero"/>
        <c:auto val="1"/>
        <c:lblAlgn val="ctr"/>
        <c:lblOffset val="100"/>
        <c:noMultiLvlLbl val="0"/>
      </c:catAx>
      <c:valAx>
        <c:axId val="334634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34637856"/>
        <c:crosses val="autoZero"/>
        <c:crossBetween val="between"/>
        <c:majorUnit val="100000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9950422863808679"/>
          <c:y val="0.45271947300876675"/>
          <c:w val="0.17850521493802038"/>
          <c:h val="0.2280530273440705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800" b="0">
                <a:latin typeface="Times New Roman" panose="02020603050405020304" pitchFamily="18" charset="0"/>
                <a:cs typeface="Times New Roman" panose="02020603050405020304" pitchFamily="18" charset="0"/>
              </a:rPr>
              <a:t>PRIHODI - vlastiti / proračun</a:t>
            </a:r>
          </a:p>
        </c:rich>
      </c:tx>
      <c:layout>
        <c:manualLayout>
          <c:xMode val="edge"/>
          <c:yMode val="edge"/>
          <c:x val="0.23902707621452973"/>
          <c:y val="5.020920502092050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"/>
          <c:y val="0.24130434782608695"/>
          <c:w val="0.56589526391573375"/>
          <c:h val="0.682667349508140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PRIHODI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5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181-4B44-8855-6264349D782B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4">
                  <a:lumMod val="20000"/>
                  <a:lumOff val="8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181-4B44-8855-6264349D782B}"/>
              </c:ext>
            </c:extLst>
          </c:dPt>
          <c:cat>
            <c:strRef>
              <c:f>Sheet1!$A$2:$A$3</c:f>
              <c:strCache>
                <c:ptCount val="2"/>
                <c:pt idx="0">
                  <c:v>PRORAČUN</c:v>
                </c:pt>
                <c:pt idx="1">
                  <c:v>VLASTITI I POMOĆI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412248.36</c:v>
                </c:pt>
                <c:pt idx="1">
                  <c:v>239271.38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181-4B44-8855-6264349D78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764409679"/>
        <c:axId val="1764414479"/>
      </c:barChart>
      <c:catAx>
        <c:axId val="1764409679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764414479"/>
        <c:crosses val="autoZero"/>
        <c:auto val="1"/>
        <c:lblAlgn val="ctr"/>
        <c:lblOffset val="100"/>
        <c:noMultiLvlLbl val="0"/>
      </c:catAx>
      <c:valAx>
        <c:axId val="1764414479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764409679"/>
        <c:crosses val="autoZero"/>
        <c:crossBetween val="between"/>
        <c:majorUnit val="100000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6305633748005552"/>
          <c:y val="0.45037919040607727"/>
          <c:w val="0.21223196565009275"/>
          <c:h val="0.3507312805411518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000"/>
              <a:t>Prihodi 2025.</a:t>
            </a:r>
          </a:p>
        </c:rich>
      </c:tx>
      <c:layout>
        <c:manualLayout>
          <c:xMode val="edge"/>
          <c:yMode val="edge"/>
          <c:x val="0.38921861329833762"/>
          <c:y val="7.194244604316547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ln>
                <a:noFill/>
              </a:ln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5622340009910518"/>
          <c:y val="0.13733812949640287"/>
          <c:w val="0.61506062527261351"/>
          <c:h val="0.73173890646846718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plan 2025.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Pt>
            <c:idx val="3"/>
            <c:marker>
              <c:symbol val="circle"/>
              <c:size val="5"/>
              <c:spPr>
                <a:solidFill>
                  <a:schemeClr val="accent1"/>
                </a:solidFill>
                <a:ln w="9525">
                  <a:solidFill>
                    <a:schemeClr val="accent1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chemeClr val="accent1">
                    <a:lumMod val="7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0-DADE-4BCB-BC19-8955D57F9389}"/>
              </c:ext>
            </c:extLst>
          </c:dPt>
          <c:cat>
            <c:numRef>
              <c:f>Sheet1!$A$2:$A$5</c:f>
              <c:numCache>
                <c:formatCode>General</c:formatCode>
                <c:ptCount val="4"/>
                <c:pt idx="0">
                  <c:v>63</c:v>
                </c:pt>
                <c:pt idx="1">
                  <c:v>65</c:v>
                </c:pt>
                <c:pt idx="2">
                  <c:v>66</c:v>
                </c:pt>
                <c:pt idx="3">
                  <c:v>67</c:v>
                </c:pt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43720</c:v>
                </c:pt>
                <c:pt idx="1">
                  <c:v>170000</c:v>
                </c:pt>
                <c:pt idx="2">
                  <c:v>33000</c:v>
                </c:pt>
                <c:pt idx="3">
                  <c:v>570800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69A-4650-A824-3733B4B0AD1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realizacija 2025.</c:v>
                </c:pt>
              </c:strCache>
            </c:strRef>
          </c:tx>
          <c:spPr>
            <a:ln w="28575" cap="rnd">
              <a:solidFill>
                <a:schemeClr val="accent4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>
                  <a:lumMod val="60000"/>
                  <a:lumOff val="40000"/>
                </a:schemeClr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Sheet1!$A$2:$A$5</c:f>
              <c:numCache>
                <c:formatCode>General</c:formatCode>
                <c:ptCount val="4"/>
                <c:pt idx="0">
                  <c:v>63</c:v>
                </c:pt>
                <c:pt idx="1">
                  <c:v>65</c:v>
                </c:pt>
                <c:pt idx="2">
                  <c:v>66</c:v>
                </c:pt>
                <c:pt idx="3">
                  <c:v>67</c:v>
                </c:pt>
              </c:numCache>
            </c:numRef>
          </c:cat>
          <c:val>
            <c:numRef>
              <c:f>Sheet1!$C$2:$C$5</c:f>
              <c:numCache>
                <c:formatCode>General</c:formatCode>
                <c:ptCount val="4"/>
                <c:pt idx="0">
                  <c:v>43720</c:v>
                </c:pt>
                <c:pt idx="1">
                  <c:v>161887.37</c:v>
                </c:pt>
                <c:pt idx="2">
                  <c:v>33664.01</c:v>
                </c:pt>
                <c:pt idx="3">
                  <c:v>412248.36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69A-4650-A824-3733B4B0AD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10501167"/>
        <c:axId val="510497807"/>
      </c:lineChart>
      <c:catAx>
        <c:axId val="510501167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ln>
                      <a:noFill/>
                    </a:ln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vrsta prihoda</a:t>
                </a:r>
              </a:p>
            </c:rich>
          </c:tx>
          <c:layout>
            <c:manualLayout>
              <c:xMode val="edge"/>
              <c:yMode val="edge"/>
              <c:x val="0.74845344852726747"/>
              <c:y val="0.875522569024666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ln>
                    <a:noFill/>
                  </a:ln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10497807"/>
        <c:crosses val="autoZero"/>
        <c:auto val="1"/>
        <c:lblAlgn val="ctr"/>
        <c:lblOffset val="100"/>
        <c:noMultiLvlLbl val="0"/>
      </c:catAx>
      <c:valAx>
        <c:axId val="510497807"/>
        <c:scaling>
          <c:orientation val="minMax"/>
          <c:max val="50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ln>
                      <a:noFill/>
                    </a:ln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iznos</a:t>
                </a:r>
              </a:p>
            </c:rich>
          </c:tx>
          <c:layout>
            <c:manualLayout>
              <c:xMode val="edge"/>
              <c:yMode val="edge"/>
              <c:x val="4.9851292768783254E-3"/>
              <c:y val="0.3224547866096177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ln>
                    <a:noFill/>
                  </a:ln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10501167"/>
        <c:crosses val="autoZero"/>
        <c:crossBetween val="between"/>
        <c:majorUnit val="100000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ln>
                <a:noFill/>
              </a:ln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ln>
            <a:noFill/>
          </a:ln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000"/>
              <a:t>Rashodi 2025.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7706328375619711E-2"/>
          <c:y val="0.2016416282632405"/>
          <c:w val="0.68746664479440067"/>
          <c:h val="0.65265566784135975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plan 2025</c:v>
                </c:pt>
              </c:strCache>
            </c:strRef>
          </c:tx>
          <c:spPr>
            <a:ln w="28575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Sheet1!$A$2:$A$4</c:f>
              <c:numCache>
                <c:formatCode>General</c:formatCode>
                <c:ptCount val="3"/>
                <c:pt idx="0">
                  <c:v>31</c:v>
                </c:pt>
                <c:pt idx="1">
                  <c:v>32</c:v>
                </c:pt>
                <c:pt idx="2">
                  <c:v>42</c:v>
                </c:pt>
              </c:numCache>
            </c:numRef>
          </c:cat>
          <c:val>
            <c:numRef>
              <c:f>Sheet1!$B$2:$B$4</c:f>
              <c:numCache>
                <c:formatCode>General</c:formatCode>
                <c:ptCount val="3"/>
                <c:pt idx="0">
                  <c:v>427600</c:v>
                </c:pt>
                <c:pt idx="1">
                  <c:v>503676</c:v>
                </c:pt>
                <c:pt idx="2">
                  <c:v>18000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65D-46E0-BDF5-F5EF148FDE8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realizacija 2025.</c:v>
                </c:pt>
              </c:strCache>
            </c:strRef>
          </c:tx>
          <c:spPr>
            <a:ln w="28575" cap="rnd">
              <a:solidFill>
                <a:schemeClr val="accent4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>
                  <a:lumMod val="60000"/>
                  <a:lumOff val="40000"/>
                </a:schemeClr>
              </a:solidFill>
              <a:ln w="9525">
                <a:solidFill>
                  <a:schemeClr val="accent4">
                    <a:lumMod val="60000"/>
                    <a:lumOff val="40000"/>
                  </a:schemeClr>
                </a:solidFill>
              </a:ln>
              <a:effectLst/>
            </c:spPr>
          </c:marker>
          <c:cat>
            <c:numRef>
              <c:f>Sheet1!$A$2:$A$4</c:f>
              <c:numCache>
                <c:formatCode>General</c:formatCode>
                <c:ptCount val="3"/>
                <c:pt idx="0">
                  <c:v>31</c:v>
                </c:pt>
                <c:pt idx="1">
                  <c:v>32</c:v>
                </c:pt>
                <c:pt idx="2">
                  <c:v>42</c:v>
                </c:pt>
              </c:numCache>
            </c:numRef>
          </c:cat>
          <c:val>
            <c:numRef>
              <c:f>Sheet1!$C$2:$C$4</c:f>
              <c:numCache>
                <c:formatCode>General</c:formatCode>
                <c:ptCount val="3"/>
                <c:pt idx="0">
                  <c:v>353092</c:v>
                </c:pt>
                <c:pt idx="1">
                  <c:v>344057</c:v>
                </c:pt>
                <c:pt idx="2">
                  <c:v>3870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65D-46E0-BDF5-F5EF148FDE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10224431"/>
        <c:axId val="510226351"/>
      </c:lineChart>
      <c:catAx>
        <c:axId val="510224431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rashodi</a:t>
                </a:r>
              </a:p>
            </c:rich>
          </c:tx>
          <c:layout>
            <c:manualLayout>
              <c:xMode val="edge"/>
              <c:yMode val="edge"/>
              <c:x val="0.72877752260134154"/>
              <c:y val="0.8560044886302743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10226351"/>
        <c:crosses val="autoZero"/>
        <c:auto val="0"/>
        <c:lblAlgn val="ctr"/>
        <c:lblOffset val="100"/>
        <c:noMultiLvlLbl val="0"/>
      </c:catAx>
      <c:valAx>
        <c:axId val="5102263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10224431"/>
        <c:crosses val="autoZero"/>
        <c:crossBetween val="between"/>
        <c:majorUnit val="100000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0818241469816277"/>
          <c:y val="0.46005954202721133"/>
          <c:w val="0.19181758530183726"/>
          <c:h val="0.2609763223060014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2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000"/>
              <a:t>Struktura prihoda - izvori financiranja</a:t>
            </a:r>
          </a:p>
        </c:rich>
      </c:tx>
      <c:layout>
        <c:manualLayout>
          <c:xMode val="edge"/>
          <c:yMode val="edge"/>
          <c:x val="0.22425866572267777"/>
          <c:y val="4.444444444444444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2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6563293500827586"/>
          <c:y val="0.25399971897101759"/>
          <c:w val="0.24793926579347692"/>
          <c:h val="0.67433580881702415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prihodi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15000"/>
                      <a:satMod val="180000"/>
                    </a:schemeClr>
                  </a:gs>
                  <a:gs pos="50000">
                    <a:schemeClr val="accent1">
                      <a:shade val="45000"/>
                      <a:satMod val="170000"/>
                    </a:schemeClr>
                  </a:gs>
                  <a:gs pos="70000">
                    <a:schemeClr val="accent1">
                      <a:tint val="99000"/>
                      <a:shade val="65000"/>
                      <a:satMod val="155000"/>
                    </a:schemeClr>
                  </a:gs>
                  <a:gs pos="100000">
                    <a:schemeClr val="accent1">
                      <a:tint val="95500"/>
                      <a:shade val="100000"/>
                      <a:satMod val="15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50800" dist="381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1D8C-412C-A65F-CA8F804FB95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15000"/>
                      <a:satMod val="180000"/>
                    </a:schemeClr>
                  </a:gs>
                  <a:gs pos="50000">
                    <a:schemeClr val="accent2">
                      <a:shade val="45000"/>
                      <a:satMod val="170000"/>
                    </a:schemeClr>
                  </a:gs>
                  <a:gs pos="70000">
                    <a:schemeClr val="accent2">
                      <a:tint val="99000"/>
                      <a:shade val="65000"/>
                      <a:satMod val="155000"/>
                    </a:schemeClr>
                  </a:gs>
                  <a:gs pos="100000">
                    <a:schemeClr val="accent2">
                      <a:tint val="95500"/>
                      <a:shade val="100000"/>
                      <a:satMod val="15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50800" dist="381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1D8C-412C-A65F-CA8F804FB95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15000"/>
                      <a:satMod val="180000"/>
                    </a:schemeClr>
                  </a:gs>
                  <a:gs pos="50000">
                    <a:schemeClr val="accent3">
                      <a:shade val="45000"/>
                      <a:satMod val="170000"/>
                    </a:schemeClr>
                  </a:gs>
                  <a:gs pos="70000">
                    <a:schemeClr val="accent3">
                      <a:tint val="99000"/>
                      <a:shade val="65000"/>
                      <a:satMod val="155000"/>
                    </a:schemeClr>
                  </a:gs>
                  <a:gs pos="100000">
                    <a:schemeClr val="accent3">
                      <a:tint val="95500"/>
                      <a:shade val="100000"/>
                      <a:satMod val="15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50800" dist="381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D8C-412C-A65F-CA8F804FB95F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15000"/>
                      <a:satMod val="180000"/>
                    </a:schemeClr>
                  </a:gs>
                  <a:gs pos="50000">
                    <a:schemeClr val="accent4">
                      <a:shade val="45000"/>
                      <a:satMod val="170000"/>
                    </a:schemeClr>
                  </a:gs>
                  <a:gs pos="70000">
                    <a:schemeClr val="accent4">
                      <a:tint val="99000"/>
                      <a:shade val="65000"/>
                      <a:satMod val="155000"/>
                    </a:schemeClr>
                  </a:gs>
                  <a:gs pos="100000">
                    <a:schemeClr val="accent4">
                      <a:tint val="95500"/>
                      <a:shade val="100000"/>
                      <a:satMod val="15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50800" dist="381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1D8C-412C-A65F-CA8F804FB95F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15000"/>
                      <a:satMod val="180000"/>
                    </a:schemeClr>
                  </a:gs>
                  <a:gs pos="50000">
                    <a:schemeClr val="accent5">
                      <a:shade val="45000"/>
                      <a:satMod val="170000"/>
                    </a:schemeClr>
                  </a:gs>
                  <a:gs pos="70000">
                    <a:schemeClr val="accent5">
                      <a:tint val="99000"/>
                      <a:shade val="65000"/>
                      <a:satMod val="155000"/>
                    </a:schemeClr>
                  </a:gs>
                  <a:gs pos="100000">
                    <a:schemeClr val="accent5">
                      <a:tint val="95500"/>
                      <a:shade val="100000"/>
                      <a:satMod val="15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50800" dist="381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1D8C-412C-A65F-CA8F804FB95F}"/>
              </c:ext>
            </c:extLst>
          </c:dPt>
          <c:dLbls>
            <c:dLbl>
              <c:idx val="0"/>
              <c:layout>
                <c:manualLayout>
                  <c:x val="9.2345078979343867E-2"/>
                  <c:y val="6.6666666666666569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D8C-412C-A65F-CA8F804FB95F}"/>
                </c:ext>
              </c:extLst>
            </c:dLbl>
            <c:dLbl>
              <c:idx val="1"/>
              <c:layout>
                <c:manualLayout>
                  <c:x val="-7.2904009720534624E-2"/>
                  <c:y val="0.1333333333333333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D8C-412C-A65F-CA8F804FB95F}"/>
                </c:ext>
              </c:extLst>
            </c:dLbl>
            <c:dLbl>
              <c:idx val="2"/>
              <c:layout>
                <c:manualLayout>
                  <c:x val="-9.2345078979343867E-2"/>
                  <c:y val="-1.1111111111111112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D8C-412C-A65F-CA8F804FB95F}"/>
                </c:ext>
              </c:extLst>
            </c:dLbl>
            <c:dLbl>
              <c:idx val="3"/>
              <c:layout>
                <c:manualLayout>
                  <c:x val="-7.2904009720534652E-2"/>
                  <c:y val="-0.1166666666666667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D8C-412C-A65F-CA8F804FB95F}"/>
                </c:ext>
              </c:extLst>
            </c:dLbl>
            <c:dLbl>
              <c:idx val="4"/>
              <c:layout>
                <c:manualLayout>
                  <c:x val="4.8602673147023082E-3"/>
                  <c:y val="-0.1500000000000000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D8C-412C-A65F-CA8F804FB95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prihodi proračuna</c:v>
                </c:pt>
                <c:pt idx="1">
                  <c:v>vlastiti prihodi - najam</c:v>
                </c:pt>
                <c:pt idx="2">
                  <c:v>vlastiti prihodi - prihodi od ulaznica</c:v>
                </c:pt>
                <c:pt idx="3">
                  <c:v>pomoći</c:v>
                </c:pt>
                <c:pt idx="4">
                  <c:v>viškovi iz 2024.g.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412248.36</c:v>
                </c:pt>
                <c:pt idx="1">
                  <c:v>33664.01</c:v>
                </c:pt>
                <c:pt idx="2">
                  <c:v>161887.37</c:v>
                </c:pt>
                <c:pt idx="3">
                  <c:v>43720</c:v>
                </c:pt>
                <c:pt idx="4">
                  <c:v>131756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8C-412C-A65F-CA8F804FB95F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7924072674390792"/>
          <c:y val="0.22708136482939634"/>
          <c:w val="0.31782474335301036"/>
          <c:h val="0.5951408573928258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2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6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/>
              <a:t>Izvori prihoda / rashoda</a:t>
            </a:r>
          </a:p>
        </c:rich>
      </c:tx>
      <c:layout>
        <c:manualLayout>
          <c:xMode val="edge"/>
          <c:yMode val="edge"/>
          <c:x val="9.8805740542072348E-2"/>
          <c:y val="6.798866855524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6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8297877301003593"/>
          <c:y val="0.25957942307571263"/>
          <c:w val="0.22200061466071788"/>
          <c:h val="0.65925842003562507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DCA-4BA7-AA63-4CA4FCCFA75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DCA-4BA7-AA63-4CA4FCCFA75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DCA-4BA7-AA63-4CA4FCCFA75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DCA-4BA7-AA63-4CA4FCCFA75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CDCA-4BA7-AA63-4CA4FCCFA75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CDCA-4BA7-AA63-4CA4FCCFA751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CDCA-4BA7-AA63-4CA4FCCFA751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CDCA-4BA7-AA63-4CA4FCCFA751}"/>
              </c:ext>
            </c:extLst>
          </c:dPt>
          <c:dLbls>
            <c:dLbl>
              <c:idx val="0"/>
              <c:layout>
                <c:manualLayout>
                  <c:x val="3.2170275590551183E-2"/>
                  <c:y val="-1.990191226096738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DCA-4BA7-AA63-4CA4FCCFA751}"/>
                </c:ext>
              </c:extLst>
            </c:dLbl>
            <c:dLbl>
              <c:idx val="1"/>
              <c:layout>
                <c:manualLayout>
                  <c:x val="0.17645082282452482"/>
                  <c:y val="0.1326225156699605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724166548590166"/>
                      <c:h val="9.96609488969686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CDCA-4BA7-AA63-4CA4FCCFA751}"/>
                </c:ext>
              </c:extLst>
            </c:dLbl>
            <c:dLbl>
              <c:idx val="2"/>
              <c:layout>
                <c:manualLayout>
                  <c:x val="-3.0582778836916874E-3"/>
                  <c:y val="0.15857406163133558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479201667914903"/>
                      <c:h val="8.832950413776181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CDCA-4BA7-AA63-4CA4FCCFA751}"/>
                </c:ext>
              </c:extLst>
            </c:dLbl>
            <c:dLbl>
              <c:idx val="3"/>
              <c:layout>
                <c:manualLayout>
                  <c:x val="-6.3466995931421188E-2"/>
                  <c:y val="0.11542057950971427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714470781126649"/>
                      <c:h val="0.1037331310923245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CDCA-4BA7-AA63-4CA4FCCFA751}"/>
                </c:ext>
              </c:extLst>
            </c:dLbl>
            <c:dLbl>
              <c:idx val="4"/>
              <c:layout>
                <c:manualLayout>
                  <c:x val="-9.4225047061919323E-2"/>
                  <c:y val="8.664673997903236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DCA-4BA7-AA63-4CA4FCCFA751}"/>
                </c:ext>
              </c:extLst>
            </c:dLbl>
            <c:dLbl>
              <c:idx val="5"/>
              <c:layout>
                <c:manualLayout>
                  <c:x val="-0.12969414812865615"/>
                  <c:y val="-2.3011755258638047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DCA-4BA7-AA63-4CA4FCCFA751}"/>
                </c:ext>
              </c:extLst>
            </c:dLbl>
            <c:dLbl>
              <c:idx val="6"/>
              <c:layout>
                <c:manualLayout>
                  <c:x val="-3.6788858976175558E-2"/>
                  <c:y val="-0.14552073342107025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382122543165395"/>
                      <c:h val="8.659632843345006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CDCA-4BA7-AA63-4CA4FCCFA751}"/>
                </c:ext>
              </c:extLst>
            </c:dLbl>
            <c:dLbl>
              <c:idx val="7"/>
              <c:layout>
                <c:manualLayout>
                  <c:x val="0.1587810456854846"/>
                  <c:y val="-0.1049224866721688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CDCA-4BA7-AA63-4CA4FCCFA751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ln>
                      <a:noFill/>
                    </a:ln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Sheet1!$A$2:$A$9</c:f>
              <c:strCache>
                <c:ptCount val="8"/>
                <c:pt idx="0">
                  <c:v>izvor 1.1</c:v>
                </c:pt>
                <c:pt idx="1">
                  <c:v>izvor 3.1.</c:v>
                </c:pt>
                <c:pt idx="2">
                  <c:v>izvor 3.9 - preneseni viškovi</c:v>
                </c:pt>
                <c:pt idx="3">
                  <c:v>izvor 4.7</c:v>
                </c:pt>
                <c:pt idx="4">
                  <c:v>izvor 4.J.</c:v>
                </c:pt>
                <c:pt idx="5">
                  <c:v>izvor 5.A.</c:v>
                </c:pt>
                <c:pt idx="6">
                  <c:v>izvor 5.B.</c:v>
                </c:pt>
                <c:pt idx="7">
                  <c:v>izvor 5.J - preneseni viškovi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438474</c:v>
                </c:pt>
                <c:pt idx="1">
                  <c:v>3063.46</c:v>
                </c:pt>
                <c:pt idx="2">
                  <c:v>15873</c:v>
                </c:pt>
                <c:pt idx="3">
                  <c:v>84006</c:v>
                </c:pt>
                <c:pt idx="4">
                  <c:v>115489</c:v>
                </c:pt>
                <c:pt idx="5">
                  <c:v>4000</c:v>
                </c:pt>
                <c:pt idx="6">
                  <c:v>39720</c:v>
                </c:pt>
                <c:pt idx="7">
                  <c:v>394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CDCA-4BA7-AA63-4CA4FCCFA75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8498147885755933"/>
          <c:y val="0.10295599027458678"/>
          <c:w val="0.30400906827520596"/>
          <c:h val="0.8956739755972428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sz="8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D2FE4F7-3A90-4316-A737-7AC1FCDB235B}" type="doc">
      <dgm:prSet loTypeId="urn:microsoft.com/office/officeart/2005/8/layout/hList9" loCatId="list" qsTypeId="urn:microsoft.com/office/officeart/2005/8/quickstyle/simple5" qsCatId="simple" csTypeId="urn:microsoft.com/office/officeart/2005/8/colors/accent3_1" csCatId="accent3" phldr="1"/>
      <dgm:spPr/>
      <dgm:t>
        <a:bodyPr/>
        <a:lstStyle/>
        <a:p>
          <a:endParaRPr lang="en-US"/>
        </a:p>
      </dgm:t>
    </dgm:pt>
    <dgm:pt modelId="{E5D77450-E94F-4B07-8F62-D6150D2CD496}">
      <dgm:prSet phldrT="[Text]" custT="1"/>
      <dgm:spPr/>
      <dgm:t>
        <a:bodyPr/>
        <a:lstStyle/>
        <a:p>
          <a:r>
            <a:rPr lang="en-US" sz="800">
              <a:latin typeface="Times New Roman" panose="02020603050405020304" pitchFamily="18" charset="0"/>
              <a:cs typeface="Times New Roman" panose="02020603050405020304" pitchFamily="18" charset="0"/>
            </a:rPr>
            <a:t>vlastiti prihodi</a:t>
          </a:r>
        </a:p>
        <a:p>
          <a:r>
            <a:rPr lang="en-US" sz="800">
              <a:latin typeface="Times New Roman" panose="02020603050405020304" pitchFamily="18" charset="0"/>
              <a:cs typeface="Times New Roman" panose="02020603050405020304" pitchFamily="18" charset="0"/>
            </a:rPr>
            <a:t>239.271,38</a:t>
          </a:r>
        </a:p>
      </dgm:t>
    </dgm:pt>
    <dgm:pt modelId="{A175BDBF-6F39-4977-90A2-9D8543431DE9}" type="parTrans" cxnId="{70775429-6B1F-4B87-8B51-F10E0967FD3E}">
      <dgm:prSet/>
      <dgm:spPr/>
      <dgm:t>
        <a:bodyPr/>
        <a:lstStyle/>
        <a:p>
          <a:endParaRPr lang="en-US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6BF37EB-E737-4E91-8CD3-F6DD408B0A01}" type="sibTrans" cxnId="{70775429-6B1F-4B87-8B51-F10E0967FD3E}">
      <dgm:prSet/>
      <dgm:spPr/>
      <dgm:t>
        <a:bodyPr/>
        <a:lstStyle/>
        <a:p>
          <a:endParaRPr lang="en-US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F9325EB-CC70-46A9-B280-32802B8667F6}">
      <dgm:prSet phldrT="[Text]" custT="1"/>
      <dgm:spPr/>
      <dgm:t>
        <a:bodyPr/>
        <a:lstStyle/>
        <a:p>
          <a:r>
            <a:rPr lang="en-US" sz="800">
              <a:latin typeface="Times New Roman" panose="02020603050405020304" pitchFamily="18" charset="0"/>
              <a:cs typeface="Times New Roman" panose="02020603050405020304" pitchFamily="18" charset="0"/>
            </a:rPr>
            <a:t>- prodaja ulaznica</a:t>
          </a:r>
        </a:p>
        <a:p>
          <a:r>
            <a:rPr lang="en-US" sz="800">
              <a:latin typeface="Times New Roman" panose="02020603050405020304" pitchFamily="18" charset="0"/>
              <a:cs typeface="Times New Roman" panose="02020603050405020304" pitchFamily="18" charset="0"/>
            </a:rPr>
            <a:t>161.887,37</a:t>
          </a:r>
        </a:p>
      </dgm:t>
    </dgm:pt>
    <dgm:pt modelId="{C35D1A8C-B3DF-4E69-8D41-96AB310FAEB9}" type="parTrans" cxnId="{E338AF71-DCCC-4C7E-8840-AED9D9B1269D}">
      <dgm:prSet/>
      <dgm:spPr/>
      <dgm:t>
        <a:bodyPr/>
        <a:lstStyle/>
        <a:p>
          <a:endParaRPr lang="en-US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CB04399-8898-401A-93D1-A8C524E30769}" type="sibTrans" cxnId="{E338AF71-DCCC-4C7E-8840-AED9D9B1269D}">
      <dgm:prSet/>
      <dgm:spPr/>
      <dgm:t>
        <a:bodyPr/>
        <a:lstStyle/>
        <a:p>
          <a:endParaRPr lang="en-US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33AE01C-CF42-4C5B-9203-9666CCB81839}">
      <dgm:prSet phldrT="[Text]" custT="1"/>
      <dgm:spPr/>
      <dgm:t>
        <a:bodyPr/>
        <a:lstStyle/>
        <a:p>
          <a:r>
            <a:rPr lang="en-US" sz="800">
              <a:latin typeface="Times New Roman" panose="02020603050405020304" pitchFamily="18" charset="0"/>
              <a:cs typeface="Times New Roman" panose="02020603050405020304" pitchFamily="18" charset="0"/>
            </a:rPr>
            <a:t>- najam prostora</a:t>
          </a:r>
        </a:p>
        <a:p>
          <a:r>
            <a:rPr lang="en-US" sz="800">
              <a:latin typeface="Times New Roman" panose="02020603050405020304" pitchFamily="18" charset="0"/>
              <a:cs typeface="Times New Roman" panose="02020603050405020304" pitchFamily="18" charset="0"/>
            </a:rPr>
            <a:t>   33.664,01</a:t>
          </a:r>
        </a:p>
      </dgm:t>
    </dgm:pt>
    <dgm:pt modelId="{63B6E807-D7D0-4FA4-AB52-F229AF988102}" type="parTrans" cxnId="{983C84DA-061A-438A-87FD-1A2455864B66}">
      <dgm:prSet/>
      <dgm:spPr/>
      <dgm:t>
        <a:bodyPr/>
        <a:lstStyle/>
        <a:p>
          <a:endParaRPr lang="en-US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D3A7614-ADB1-449C-9C37-49E13AC87152}" type="sibTrans" cxnId="{983C84DA-061A-438A-87FD-1A2455864B66}">
      <dgm:prSet/>
      <dgm:spPr/>
      <dgm:t>
        <a:bodyPr/>
        <a:lstStyle/>
        <a:p>
          <a:endParaRPr lang="en-US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7F72105-4A04-4594-950D-B1977F2D3750}">
      <dgm:prSet custT="1"/>
      <dgm:spPr/>
      <dgm:t>
        <a:bodyPr/>
        <a:lstStyle/>
        <a:p>
          <a:r>
            <a:rPr lang="en-US" sz="800">
              <a:latin typeface="Times New Roman" panose="02020603050405020304" pitchFamily="18" charset="0"/>
              <a:cs typeface="Times New Roman" panose="02020603050405020304" pitchFamily="18" charset="0"/>
            </a:rPr>
            <a:t>- sredstva županije,  HAVC-a, DHFA</a:t>
          </a:r>
        </a:p>
        <a:p>
          <a:r>
            <a:rPr lang="en-US" sz="800">
              <a:latin typeface="Times New Roman" panose="02020603050405020304" pitchFamily="18" charset="0"/>
              <a:cs typeface="Times New Roman" panose="02020603050405020304" pitchFamily="18" charset="0"/>
            </a:rPr>
            <a:t>43.720,00</a:t>
          </a:r>
        </a:p>
      </dgm:t>
    </dgm:pt>
    <dgm:pt modelId="{9A199CC1-1883-40C3-889C-8F09E064A785}" type="parTrans" cxnId="{D6639185-8876-47F5-9E52-9E47E3FE914A}">
      <dgm:prSet/>
      <dgm:spPr/>
      <dgm:t>
        <a:bodyPr/>
        <a:lstStyle/>
        <a:p>
          <a:endParaRPr lang="en-US"/>
        </a:p>
      </dgm:t>
    </dgm:pt>
    <dgm:pt modelId="{168BA808-3134-48FF-84D4-EDECAD121C11}" type="sibTrans" cxnId="{D6639185-8876-47F5-9E52-9E47E3FE914A}">
      <dgm:prSet/>
      <dgm:spPr/>
      <dgm:t>
        <a:bodyPr/>
        <a:lstStyle/>
        <a:p>
          <a:endParaRPr lang="en-US"/>
        </a:p>
      </dgm:t>
    </dgm:pt>
    <dgm:pt modelId="{B23DB705-390E-4676-B991-11FCF16C1FEB}" type="pres">
      <dgm:prSet presAssocID="{9D2FE4F7-3A90-4316-A737-7AC1FCDB235B}" presName="list" presStyleCnt="0">
        <dgm:presLayoutVars>
          <dgm:dir/>
          <dgm:animLvl val="lvl"/>
        </dgm:presLayoutVars>
      </dgm:prSet>
      <dgm:spPr/>
    </dgm:pt>
    <dgm:pt modelId="{8FDB9E1E-325F-4D88-BA1B-993366753029}" type="pres">
      <dgm:prSet presAssocID="{E5D77450-E94F-4B07-8F62-D6150D2CD496}" presName="posSpace" presStyleCnt="0"/>
      <dgm:spPr/>
    </dgm:pt>
    <dgm:pt modelId="{092B03F3-7AB1-4597-874F-7265A6F64FC8}" type="pres">
      <dgm:prSet presAssocID="{E5D77450-E94F-4B07-8F62-D6150D2CD496}" presName="vertFlow" presStyleCnt="0"/>
      <dgm:spPr/>
    </dgm:pt>
    <dgm:pt modelId="{0DC50B41-E152-419B-B3C5-8FED2677477D}" type="pres">
      <dgm:prSet presAssocID="{E5D77450-E94F-4B07-8F62-D6150D2CD496}" presName="topSpace" presStyleCnt="0"/>
      <dgm:spPr/>
    </dgm:pt>
    <dgm:pt modelId="{A84308F5-DD68-40F8-97D3-4BCA7DCF479C}" type="pres">
      <dgm:prSet presAssocID="{E5D77450-E94F-4B07-8F62-D6150D2CD496}" presName="firstComp" presStyleCnt="0"/>
      <dgm:spPr/>
    </dgm:pt>
    <dgm:pt modelId="{42879988-A4B9-4FE0-8E31-F3308B60AC1E}" type="pres">
      <dgm:prSet presAssocID="{E5D77450-E94F-4B07-8F62-D6150D2CD496}" presName="firstChild" presStyleLbl="bgAccFollowNode1" presStyleIdx="0" presStyleCnt="3" custScaleX="154226" custScaleY="55623"/>
      <dgm:spPr/>
    </dgm:pt>
    <dgm:pt modelId="{C5699C5A-7BB4-42B3-AEA1-09F19015352F}" type="pres">
      <dgm:prSet presAssocID="{E5D77450-E94F-4B07-8F62-D6150D2CD496}" presName="firstChildTx" presStyleLbl="bgAccFollowNode1" presStyleIdx="0" presStyleCnt="3">
        <dgm:presLayoutVars>
          <dgm:bulletEnabled val="1"/>
        </dgm:presLayoutVars>
      </dgm:prSet>
      <dgm:spPr/>
    </dgm:pt>
    <dgm:pt modelId="{8DF716AD-398D-49D0-ABF2-8B08BC5DD2B1}" type="pres">
      <dgm:prSet presAssocID="{A33AE01C-CF42-4C5B-9203-9666CCB81839}" presName="comp" presStyleCnt="0"/>
      <dgm:spPr/>
    </dgm:pt>
    <dgm:pt modelId="{0B83587A-E68A-4759-8352-E05B74E3B3C2}" type="pres">
      <dgm:prSet presAssocID="{A33AE01C-CF42-4C5B-9203-9666CCB81839}" presName="child" presStyleLbl="bgAccFollowNode1" presStyleIdx="1" presStyleCnt="3" custScaleX="154367" custScaleY="60728"/>
      <dgm:spPr/>
    </dgm:pt>
    <dgm:pt modelId="{B96F1971-9534-4888-9ECD-6F6593D6B4FD}" type="pres">
      <dgm:prSet presAssocID="{A33AE01C-CF42-4C5B-9203-9666CCB81839}" presName="childTx" presStyleLbl="bgAccFollowNode1" presStyleIdx="1" presStyleCnt="3">
        <dgm:presLayoutVars>
          <dgm:bulletEnabled val="1"/>
        </dgm:presLayoutVars>
      </dgm:prSet>
      <dgm:spPr/>
    </dgm:pt>
    <dgm:pt modelId="{CD064B88-942E-4BEB-A497-F049B4DC72CC}" type="pres">
      <dgm:prSet presAssocID="{F7F72105-4A04-4594-950D-B1977F2D3750}" presName="comp" presStyleCnt="0"/>
      <dgm:spPr/>
    </dgm:pt>
    <dgm:pt modelId="{CF2A1F28-9B61-4251-A418-FC1B71F84CBC}" type="pres">
      <dgm:prSet presAssocID="{F7F72105-4A04-4594-950D-B1977F2D3750}" presName="child" presStyleLbl="bgAccFollowNode1" presStyleIdx="2" presStyleCnt="3" custScaleX="154226" custScaleY="63530"/>
      <dgm:spPr/>
    </dgm:pt>
    <dgm:pt modelId="{D9CF06EF-09F2-418B-B3BB-2C1672EDB857}" type="pres">
      <dgm:prSet presAssocID="{F7F72105-4A04-4594-950D-B1977F2D3750}" presName="childTx" presStyleLbl="bgAccFollowNode1" presStyleIdx="2" presStyleCnt="3">
        <dgm:presLayoutVars>
          <dgm:bulletEnabled val="1"/>
        </dgm:presLayoutVars>
      </dgm:prSet>
      <dgm:spPr/>
    </dgm:pt>
    <dgm:pt modelId="{5F77F85D-E3B8-45B5-8FB2-C329C07664EE}" type="pres">
      <dgm:prSet presAssocID="{E5D77450-E94F-4B07-8F62-D6150D2CD496}" presName="negSpace" presStyleCnt="0"/>
      <dgm:spPr/>
    </dgm:pt>
    <dgm:pt modelId="{082F9C98-C745-42DE-82F1-12FA2E975DB1}" type="pres">
      <dgm:prSet presAssocID="{E5D77450-E94F-4B07-8F62-D6150D2CD496}" presName="circle" presStyleLbl="node1" presStyleIdx="0" presStyleCnt="1" custScaleX="132164" custLinFactX="-29319" custLinFactNeighborX="-100000" custLinFactNeighborY="71229"/>
      <dgm:spPr/>
    </dgm:pt>
  </dgm:ptLst>
  <dgm:cxnLst>
    <dgm:cxn modelId="{7F717108-A167-41B1-9BA9-88A187ADDCE3}" type="presOf" srcId="{A33AE01C-CF42-4C5B-9203-9666CCB81839}" destId="{B96F1971-9534-4888-9ECD-6F6593D6B4FD}" srcOrd="1" destOrd="0" presId="urn:microsoft.com/office/officeart/2005/8/layout/hList9"/>
    <dgm:cxn modelId="{BCA53B17-1A48-4901-B8FF-61E09B756ECC}" type="presOf" srcId="{FF9325EB-CC70-46A9-B280-32802B8667F6}" destId="{C5699C5A-7BB4-42B3-AEA1-09F19015352F}" srcOrd="1" destOrd="0" presId="urn:microsoft.com/office/officeart/2005/8/layout/hList9"/>
    <dgm:cxn modelId="{70775429-6B1F-4B87-8B51-F10E0967FD3E}" srcId="{9D2FE4F7-3A90-4316-A737-7AC1FCDB235B}" destId="{E5D77450-E94F-4B07-8F62-D6150D2CD496}" srcOrd="0" destOrd="0" parTransId="{A175BDBF-6F39-4977-90A2-9D8543431DE9}" sibTransId="{86BF37EB-E737-4E91-8CD3-F6DD408B0A01}"/>
    <dgm:cxn modelId="{E338AF71-DCCC-4C7E-8840-AED9D9B1269D}" srcId="{E5D77450-E94F-4B07-8F62-D6150D2CD496}" destId="{FF9325EB-CC70-46A9-B280-32802B8667F6}" srcOrd="0" destOrd="0" parTransId="{C35D1A8C-B3DF-4E69-8D41-96AB310FAEB9}" sibTransId="{CCB04399-8898-401A-93D1-A8C524E30769}"/>
    <dgm:cxn modelId="{D6639185-8876-47F5-9E52-9E47E3FE914A}" srcId="{E5D77450-E94F-4B07-8F62-D6150D2CD496}" destId="{F7F72105-4A04-4594-950D-B1977F2D3750}" srcOrd="2" destOrd="0" parTransId="{9A199CC1-1883-40C3-889C-8F09E064A785}" sibTransId="{168BA808-3134-48FF-84D4-EDECAD121C11}"/>
    <dgm:cxn modelId="{962A2994-B7F2-4101-975E-CA480B4BB96D}" type="presOf" srcId="{E5D77450-E94F-4B07-8F62-D6150D2CD496}" destId="{082F9C98-C745-42DE-82F1-12FA2E975DB1}" srcOrd="0" destOrd="0" presId="urn:microsoft.com/office/officeart/2005/8/layout/hList9"/>
    <dgm:cxn modelId="{310C3A9E-C78A-4CCE-9862-88DB795CE257}" type="presOf" srcId="{F7F72105-4A04-4594-950D-B1977F2D3750}" destId="{D9CF06EF-09F2-418B-B3BB-2C1672EDB857}" srcOrd="1" destOrd="0" presId="urn:microsoft.com/office/officeart/2005/8/layout/hList9"/>
    <dgm:cxn modelId="{B7EE00A2-364C-446A-9B6B-D5C7AC82BCF9}" type="presOf" srcId="{FF9325EB-CC70-46A9-B280-32802B8667F6}" destId="{42879988-A4B9-4FE0-8E31-F3308B60AC1E}" srcOrd="0" destOrd="0" presId="urn:microsoft.com/office/officeart/2005/8/layout/hList9"/>
    <dgm:cxn modelId="{1445EBB9-5917-47E9-9BB1-75F458DDA6A5}" type="presOf" srcId="{9D2FE4F7-3A90-4316-A737-7AC1FCDB235B}" destId="{B23DB705-390E-4676-B991-11FCF16C1FEB}" srcOrd="0" destOrd="0" presId="urn:microsoft.com/office/officeart/2005/8/layout/hList9"/>
    <dgm:cxn modelId="{53CADEC0-F68A-433C-B78A-57A9BB00ABB5}" type="presOf" srcId="{F7F72105-4A04-4594-950D-B1977F2D3750}" destId="{CF2A1F28-9B61-4251-A418-FC1B71F84CBC}" srcOrd="0" destOrd="0" presId="urn:microsoft.com/office/officeart/2005/8/layout/hList9"/>
    <dgm:cxn modelId="{0DCBC4C3-D2BF-4369-BD1C-1B1467EAF656}" type="presOf" srcId="{A33AE01C-CF42-4C5B-9203-9666CCB81839}" destId="{0B83587A-E68A-4759-8352-E05B74E3B3C2}" srcOrd="0" destOrd="0" presId="urn:microsoft.com/office/officeart/2005/8/layout/hList9"/>
    <dgm:cxn modelId="{983C84DA-061A-438A-87FD-1A2455864B66}" srcId="{E5D77450-E94F-4B07-8F62-D6150D2CD496}" destId="{A33AE01C-CF42-4C5B-9203-9666CCB81839}" srcOrd="1" destOrd="0" parTransId="{63B6E807-D7D0-4FA4-AB52-F229AF988102}" sibTransId="{0D3A7614-ADB1-449C-9C37-49E13AC87152}"/>
    <dgm:cxn modelId="{87D65F8F-27A3-47DA-BD03-D7C4AB3661BA}" type="presParOf" srcId="{B23DB705-390E-4676-B991-11FCF16C1FEB}" destId="{8FDB9E1E-325F-4D88-BA1B-993366753029}" srcOrd="0" destOrd="0" presId="urn:microsoft.com/office/officeart/2005/8/layout/hList9"/>
    <dgm:cxn modelId="{44622BD4-C5ED-45AB-B8E9-46508950CAA2}" type="presParOf" srcId="{B23DB705-390E-4676-B991-11FCF16C1FEB}" destId="{092B03F3-7AB1-4597-874F-7265A6F64FC8}" srcOrd="1" destOrd="0" presId="urn:microsoft.com/office/officeart/2005/8/layout/hList9"/>
    <dgm:cxn modelId="{B23268BF-39A7-4A4D-A858-F07F086AD754}" type="presParOf" srcId="{092B03F3-7AB1-4597-874F-7265A6F64FC8}" destId="{0DC50B41-E152-419B-B3C5-8FED2677477D}" srcOrd="0" destOrd="0" presId="urn:microsoft.com/office/officeart/2005/8/layout/hList9"/>
    <dgm:cxn modelId="{EF78AFA9-972A-4695-9A30-71F083722F15}" type="presParOf" srcId="{092B03F3-7AB1-4597-874F-7265A6F64FC8}" destId="{A84308F5-DD68-40F8-97D3-4BCA7DCF479C}" srcOrd="1" destOrd="0" presId="urn:microsoft.com/office/officeart/2005/8/layout/hList9"/>
    <dgm:cxn modelId="{956F2D5B-089D-4A73-9F11-6CDD8731D15E}" type="presParOf" srcId="{A84308F5-DD68-40F8-97D3-4BCA7DCF479C}" destId="{42879988-A4B9-4FE0-8E31-F3308B60AC1E}" srcOrd="0" destOrd="0" presId="urn:microsoft.com/office/officeart/2005/8/layout/hList9"/>
    <dgm:cxn modelId="{CEB955A1-CCBC-408B-89A2-82E24E2F522F}" type="presParOf" srcId="{A84308F5-DD68-40F8-97D3-4BCA7DCF479C}" destId="{C5699C5A-7BB4-42B3-AEA1-09F19015352F}" srcOrd="1" destOrd="0" presId="urn:microsoft.com/office/officeart/2005/8/layout/hList9"/>
    <dgm:cxn modelId="{3152A0C3-72EC-4EF6-99DF-D0BEA6F479A4}" type="presParOf" srcId="{092B03F3-7AB1-4597-874F-7265A6F64FC8}" destId="{8DF716AD-398D-49D0-ABF2-8B08BC5DD2B1}" srcOrd="2" destOrd="0" presId="urn:microsoft.com/office/officeart/2005/8/layout/hList9"/>
    <dgm:cxn modelId="{156B644F-0498-48F7-B078-C9BC4C0AF944}" type="presParOf" srcId="{8DF716AD-398D-49D0-ABF2-8B08BC5DD2B1}" destId="{0B83587A-E68A-4759-8352-E05B74E3B3C2}" srcOrd="0" destOrd="0" presId="urn:microsoft.com/office/officeart/2005/8/layout/hList9"/>
    <dgm:cxn modelId="{FCBB7FFE-4E6E-485C-9897-1186A7544EEA}" type="presParOf" srcId="{8DF716AD-398D-49D0-ABF2-8B08BC5DD2B1}" destId="{B96F1971-9534-4888-9ECD-6F6593D6B4FD}" srcOrd="1" destOrd="0" presId="urn:microsoft.com/office/officeart/2005/8/layout/hList9"/>
    <dgm:cxn modelId="{0F81E3D1-1D71-4658-BDC0-A62E7E058E99}" type="presParOf" srcId="{092B03F3-7AB1-4597-874F-7265A6F64FC8}" destId="{CD064B88-942E-4BEB-A497-F049B4DC72CC}" srcOrd="3" destOrd="0" presId="urn:microsoft.com/office/officeart/2005/8/layout/hList9"/>
    <dgm:cxn modelId="{9860CDF3-C2C1-47A6-96AF-354E2AB2BF47}" type="presParOf" srcId="{CD064B88-942E-4BEB-A497-F049B4DC72CC}" destId="{CF2A1F28-9B61-4251-A418-FC1B71F84CBC}" srcOrd="0" destOrd="0" presId="urn:microsoft.com/office/officeart/2005/8/layout/hList9"/>
    <dgm:cxn modelId="{1712D6D0-DA08-41C9-B459-921C4D78BEA9}" type="presParOf" srcId="{CD064B88-942E-4BEB-A497-F049B4DC72CC}" destId="{D9CF06EF-09F2-418B-B3BB-2C1672EDB857}" srcOrd="1" destOrd="0" presId="urn:microsoft.com/office/officeart/2005/8/layout/hList9"/>
    <dgm:cxn modelId="{42212C16-F003-4515-AC8D-1145A7C74144}" type="presParOf" srcId="{B23DB705-390E-4676-B991-11FCF16C1FEB}" destId="{5F77F85D-E3B8-45B5-8FB2-C329C07664EE}" srcOrd="2" destOrd="0" presId="urn:microsoft.com/office/officeart/2005/8/layout/hList9"/>
    <dgm:cxn modelId="{766B68FD-0B68-44C0-9C77-39A9A1AB8ED4}" type="presParOf" srcId="{B23DB705-390E-4676-B991-11FCF16C1FEB}" destId="{082F9C98-C745-42DE-82F1-12FA2E975DB1}" srcOrd="3" destOrd="0" presId="urn:microsoft.com/office/officeart/2005/8/layout/hList9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2879988-A4B9-4FE0-8E31-F3308B60AC1E}">
      <dsp:nvSpPr>
        <dsp:cNvPr id="0" name=""/>
        <dsp:cNvSpPr/>
      </dsp:nvSpPr>
      <dsp:spPr>
        <a:xfrm>
          <a:off x="1306867" y="227851"/>
          <a:ext cx="2030973" cy="316499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50800" dist="381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0" tIns="56896" rIns="56896" bIns="56896" numCol="1" spcCol="1270" anchor="ctr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- prodaja ulaznica</a:t>
          </a:r>
        </a:p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161.887,37</a:t>
          </a:r>
        </a:p>
      </dsp:txBody>
      <dsp:txXfrm>
        <a:off x="1631823" y="227851"/>
        <a:ext cx="1706017" cy="316499"/>
      </dsp:txXfrm>
    </dsp:sp>
    <dsp:sp modelId="{0B83587A-E68A-4759-8352-E05B74E3B3C2}">
      <dsp:nvSpPr>
        <dsp:cNvPr id="0" name=""/>
        <dsp:cNvSpPr/>
      </dsp:nvSpPr>
      <dsp:spPr>
        <a:xfrm>
          <a:off x="1305939" y="544350"/>
          <a:ext cx="2032830" cy="345546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50800" dist="381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0" tIns="56896" rIns="56896" bIns="56896" numCol="1" spcCol="1270" anchor="ctr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- najam prostora</a:t>
          </a:r>
        </a:p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   33.664,01</a:t>
          </a:r>
        </a:p>
      </dsp:txBody>
      <dsp:txXfrm>
        <a:off x="1631192" y="544350"/>
        <a:ext cx="1707577" cy="345546"/>
      </dsp:txXfrm>
    </dsp:sp>
    <dsp:sp modelId="{CF2A1F28-9B61-4251-A418-FC1B71F84CBC}">
      <dsp:nvSpPr>
        <dsp:cNvPr id="0" name=""/>
        <dsp:cNvSpPr/>
      </dsp:nvSpPr>
      <dsp:spPr>
        <a:xfrm>
          <a:off x="1306867" y="889897"/>
          <a:ext cx="2030973" cy="361490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50800" dist="381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0" tIns="56896" rIns="56896" bIns="56896" numCol="1" spcCol="1270" anchor="ctr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- sredstva županije,  HAVC-a, DHFA</a:t>
          </a:r>
        </a:p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43.720,00</a:t>
          </a:r>
        </a:p>
      </dsp:txBody>
      <dsp:txXfrm>
        <a:off x="1631823" y="889897"/>
        <a:ext cx="1706017" cy="361490"/>
      </dsp:txXfrm>
    </dsp:sp>
    <dsp:sp modelId="{082F9C98-C745-42DE-82F1-12FA2E975DB1}">
      <dsp:nvSpPr>
        <dsp:cNvPr id="0" name=""/>
        <dsp:cNvSpPr/>
      </dsp:nvSpPr>
      <dsp:spPr>
        <a:xfrm>
          <a:off x="555898" y="405458"/>
          <a:ext cx="751647" cy="568723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15000"/>
                <a:satMod val="180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hade val="45000"/>
                <a:satMod val="170000"/>
              </a:schemeClr>
            </a:gs>
            <a:gs pos="70000">
              <a:schemeClr val="lt1">
                <a:hueOff val="0"/>
                <a:satOff val="0"/>
                <a:lumOff val="0"/>
                <a:alphaOff val="0"/>
                <a:tint val="99000"/>
                <a:shade val="65000"/>
                <a:satMod val="155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95500"/>
                <a:shade val="100000"/>
                <a:satMod val="155000"/>
              </a:schemeClr>
            </a:gs>
          </a:gsLst>
          <a:lin ang="16200000" scaled="0"/>
        </a:gradFill>
        <a:ln>
          <a:noFill/>
        </a:ln>
        <a:effectLst>
          <a:outerShdw blurRad="63500" dist="38100" dir="5400000" rotWithShape="0">
            <a:srgbClr val="000000">
              <a:alpha val="45000"/>
            </a:srgbClr>
          </a:outerShdw>
        </a:effectLst>
        <a:scene3d>
          <a:camera prst="orthographicFront">
            <a:rot lat="0" lon="0" rev="0"/>
          </a:camera>
          <a:lightRig rig="glow" dir="t">
            <a:rot lat="0" lon="0" rev="6360000"/>
          </a:lightRig>
        </a:scene3d>
        <a:sp3d contourW="1000" prstMaterial="flat">
          <a:bevelT w="95250" h="101600"/>
          <a:contourClr>
            <a:schemeClr val="lt1">
              <a:hueOff val="0"/>
              <a:satOff val="0"/>
              <a:lumOff val="0"/>
              <a:alphaOff val="0"/>
              <a:satMod val="300000"/>
            </a:schemeClr>
          </a:contourClr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vlastiti prihodi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239.271,38</a:t>
          </a:r>
        </a:p>
      </dsp:txBody>
      <dsp:txXfrm>
        <a:off x="665974" y="488746"/>
        <a:ext cx="531495" cy="40214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9">
  <dgm:title val=""/>
  <dgm:desc val=""/>
  <dgm:catLst>
    <dgm:cat type="list" pri="8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3" srcId="0" destId="1" srcOrd="0" destOrd="0"/>
        <dgm:cxn modelId="4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2"/>
        <dgm:pt modelId="21"/>
        <dgm:pt modelId="22"/>
        <dgm:pt modelId="23"/>
        <dgm:pt modelId="24"/>
        <dgm:pt modelId="3"/>
        <dgm:pt modelId="31"/>
        <dgm:pt modelId="32"/>
        <dgm:pt modelId="33"/>
        <dgm:pt modelId="34"/>
      </dgm:ptLst>
      <dgm:cxnLst>
        <dgm:cxn modelId="4" srcId="0" destId="1" srcOrd="0" destOrd="0"/>
        <dgm:cxn modelId="5" srcId="0" destId="2" srcOrd="1" destOrd="0"/>
        <dgm:cxn modelId="6" srcId="0" destId="3" srcOrd="1" destOrd="0"/>
        <dgm:cxn modelId="15" srcId="1" destId="11" srcOrd="0" destOrd="0"/>
        <dgm:cxn modelId="16" srcId="1" destId="12" srcOrd="0" destOrd="0"/>
        <dgm:cxn modelId="17" srcId="1" destId="13" srcOrd="0" destOrd="0"/>
        <dgm:cxn modelId="18" srcId="1" destId="14" srcOrd="0" destOrd="0"/>
        <dgm:cxn modelId="25" srcId="2" destId="21" srcOrd="0" destOrd="0"/>
        <dgm:cxn modelId="26" srcId="2" destId="22" srcOrd="0" destOrd="0"/>
        <dgm:cxn modelId="27" srcId="2" destId="23" srcOrd="0" destOrd="0"/>
        <dgm:cxn modelId="28" srcId="2" destId="24" srcOrd="0" destOrd="0"/>
        <dgm:cxn modelId="35" srcId="3" destId="31" srcOrd="0" destOrd="0"/>
        <dgm:cxn modelId="36" srcId="3" destId="32" srcOrd="0" destOrd="0"/>
        <dgm:cxn modelId="37" srcId="3" destId="33" srcOrd="0" destOrd="0"/>
        <dgm:cxn modelId="38" srcId="3" destId="34" srcOrd="0" destOrd="0"/>
      </dgm:cxnLst>
      <dgm:bg/>
      <dgm:whole/>
    </dgm:dataModel>
  </dgm:clrData>
  <dgm:layoutNode name="list">
    <dgm:varLst>
      <dgm:dir/>
      <dgm:animLvl val="lvl"/>
    </dgm:varLst>
    <dgm:choose name="Name0">
      <dgm:if name="Name1" func="var" arg="dir" op="equ" val="norm">
        <dgm:alg type="lin">
          <dgm:param type="linDir" val="fromL"/>
          <dgm:param type="fallback" val="2D"/>
          <dgm:param type="nodeVertAlign" val="t"/>
        </dgm:alg>
      </dgm:if>
      <dgm:else name="Name2">
        <dgm:alg type="lin">
          <dgm:param type="linDir" val="fromR"/>
          <dgm:param type="fallback" val="2D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ircle" refType="w" fact="0.5"/>
      <dgm:constr type="w" for="ch" forName="vertFlow" refType="w" fact="0.75"/>
      <dgm:constr type="h" for="des" forName="firstComp" refType="w" refFor="ch" refForName="vertFlow" fact="0.667"/>
      <dgm:constr type="h" for="des" forName="comp" refType="h" refFor="des" refForName="firstComp" op="equ"/>
      <dgm:constr type="h" for="des" forName="topSpace" refType="w" refFor="ch" refForName="circle" op="equ" fact="0.4"/>
      <dgm:constr type="w" for="ch" forName="posSpace" refType="w" fact="0.4"/>
      <dgm:constr type="w" for="ch" forName="negSpace" refType="w" fact="-1.15"/>
      <dgm:constr type="w" for="ch" forName="transSpace" refType="w" fact="0.75"/>
      <dgm:constr type="primFontSz" for="ch" forName="circle" op="equ" val="65"/>
      <dgm:constr type="primFontSz" for="des" forName="firstChildTx" val="65"/>
      <dgm:constr type="primFontSz" for="des" forName="childTx" refType="primFontSz" refFor="des" refForName="firstChildTx" op="equ"/>
    </dgm:constrLst>
    <dgm:ruleLst/>
    <dgm:forEach name="Name3" axis="ch" ptType="node">
      <dgm:layoutNode name="pos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vertFlow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firstComp" refType="w"/>
          <dgm:constr type="w" for="ch" forName="comp" refType="w"/>
        </dgm:constrLst>
        <dgm:ruleLst/>
        <dgm:layoutNode name="top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firstComp">
          <dgm:alg type="composite"/>
          <dgm:shape xmlns:r="http://schemas.openxmlformats.org/officeDocument/2006/relationships" r:blip="">
            <dgm:adjLst/>
          </dgm:shape>
          <dgm:presOf/>
          <dgm:choose name="Name4">
            <dgm:if name="Name5" func="var" arg="dir" op="equ" val="norm">
              <dgm:constrLst>
                <dgm:constr type="l" for="ch" forName="firstChild"/>
                <dgm:constr type="t" for="ch" forName="firstChild"/>
                <dgm:constr type="w" for="ch" forName="firstChild" refType="w"/>
                <dgm:constr type="h" for="ch" forName="firstChild" refType="h"/>
                <dgm:constr type="l" for="ch" forName="firstChildTx" refType="w" fact="0.16"/>
                <dgm:constr type="r" for="ch" forName="firstChildTx" refType="w"/>
                <dgm:constr type="h" for="ch" forName="firstChildTx" refFor="ch" refForName="firstChild" op="equ"/>
              </dgm:constrLst>
            </dgm:if>
            <dgm:else name="Name6">
              <dgm:constrLst>
                <dgm:constr type="l" for="ch" forName="firstChild"/>
                <dgm:constr type="t" for="ch" forName="firstChild"/>
                <dgm:constr type="w" for="ch" forName="firstChild" refType="w"/>
                <dgm:constr type="h" for="ch" forName="firstChild" refType="h"/>
                <dgm:constr type="l" for="ch" forName="firstChildTx"/>
                <dgm:constr type="r" for="ch" forName="firstChildTx" refType="w" fact="0.825"/>
                <dgm:constr type="h" for="ch" forName="firstChildTx" refFor="ch" refForName="firstChild" op="equ"/>
              </dgm:constrLst>
            </dgm:else>
          </dgm:choose>
          <dgm:ruleLst/>
          <dgm:layoutNode name="firstChild" styleLbl="bgAccFollowNode1">
            <dgm:alg type="sp"/>
            <dgm:shape xmlns:r="http://schemas.openxmlformats.org/officeDocument/2006/relationships" type="rect" r:blip="">
              <dgm:adjLst/>
            </dgm:shape>
            <dgm:presOf axis="ch desOrSelf" ptType="node node" cnt="1 0"/>
            <dgm:constrLst/>
            <dgm:ruleLst/>
          </dgm:layoutNode>
          <dgm:layoutNode name="firstChildTx" styleLbl="bgAccFollowNode1">
            <dgm:varLst>
              <dgm:bulletEnabled val="1"/>
            </dgm:varLst>
            <dgm:alg type="tx">
              <dgm:param type="parTxLTRAlign" val="l"/>
            </dgm:alg>
            <dgm:shape xmlns:r="http://schemas.openxmlformats.org/officeDocument/2006/relationships" type="rect" r:blip="" hideGeom="1">
              <dgm:adjLst/>
            </dgm:shape>
            <dgm:presOf axis="ch desOrSelf" ptType="node node" cnt="1 0"/>
            <dgm:choose name="Name7">
              <dgm:if name="Name8" func="var" arg="dir" op="equ" val="norm">
                <dgm:constrLst>
                  <dgm:constr type="primFontSz" val="65"/>
                  <dgm:constr type="lMarg"/>
                </dgm:constrLst>
              </dgm:if>
              <dgm:else name="Name9">
                <dgm:constrLst>
                  <dgm:constr type="primFontSz" val="65"/>
                  <dgm:constr type="rMarg"/>
                </dgm:constrLst>
              </dgm:else>
            </dgm:choose>
            <dgm:ruleLst>
              <dgm:rule type="primFontSz" val="5" fact="NaN" max="NaN"/>
            </dgm:ruleLst>
          </dgm:layoutNode>
        </dgm:layoutNode>
        <dgm:forEach name="Name10" axis="ch" ptType="node" st="2">
          <dgm:layoutNode name="comp">
            <dgm:alg type="composite"/>
            <dgm:shape xmlns:r="http://schemas.openxmlformats.org/officeDocument/2006/relationships" r:blip="">
              <dgm:adjLst/>
            </dgm:shape>
            <dgm:presOf/>
            <dgm:choose name="Name11">
              <dgm:if name="Name12" func="var" arg="dir" op="equ" val="norm">
                <dgm:constrLst>
                  <dgm:constr type="l" for="ch" forName="child"/>
                  <dgm:constr type="t" for="ch" forName="child"/>
                  <dgm:constr type="w" for="ch" forName="child" refType="w"/>
                  <dgm:constr type="h" for="ch" forName="child" refType="h"/>
                  <dgm:constr type="l" for="ch" forName="childTx" refType="w" fact="0.16"/>
                  <dgm:constr type="r" for="ch" forName="childTx" refType="w"/>
                  <dgm:constr type="h" for="ch" forName="childTx" refFor="ch" refForName="child" op="equ"/>
                </dgm:constrLst>
              </dgm:if>
              <dgm:else name="Name13">
                <dgm:constrLst>
                  <dgm:constr type="l" for="ch" forName="child"/>
                  <dgm:constr type="t" for="ch" forName="child"/>
                  <dgm:constr type="w" for="ch" forName="child" refType="w"/>
                  <dgm:constr type="h" for="ch" forName="child" refType="h"/>
                  <dgm:constr type="l" for="ch" forName="childTx"/>
                  <dgm:constr type="r" for="ch" forName="childTx" refType="w" fact="0.825"/>
                  <dgm:constr type="h" for="ch" forName="childTx" refFor="ch" refForName="child" op="equ"/>
                </dgm:constrLst>
              </dgm:else>
            </dgm:choose>
            <dgm:ruleLst/>
            <dgm:layoutNode name="child" styleLbl="bgAccFollowNode1">
              <dgm:alg type="sp"/>
              <dgm:shape xmlns:r="http://schemas.openxmlformats.org/officeDocument/2006/relationships" type="rect" r:blip="">
                <dgm:adjLst/>
              </dgm:shape>
              <dgm:presOf axis="desOrSelf" ptType="node"/>
              <dgm:constrLst/>
              <dgm:ruleLst/>
            </dgm:layoutNode>
            <dgm:layoutNode name="childTx" styleLbl="bgAccFollowNode1">
              <dgm:varLst>
                <dgm:bulletEnabled val="1"/>
              </dgm:varLst>
              <dgm:alg type="tx">
                <dgm:param type="parTxLTRAlign" val="l"/>
              </dgm:alg>
              <dgm:shape xmlns:r="http://schemas.openxmlformats.org/officeDocument/2006/relationships" type="rect" r:blip="" hideGeom="1">
                <dgm:adjLst/>
              </dgm:shape>
              <dgm:presOf axis="desOrSelf" ptType="node"/>
              <dgm:choose name="Name14">
                <dgm:if name="Name15" func="var" arg="dir" op="equ" val="norm">
                  <dgm:constrLst>
                    <dgm:constr type="primFontSz" val="65"/>
                    <dgm:constr type="lMarg"/>
                  </dgm:constrLst>
                </dgm:if>
                <dgm:else name="Name16">
                  <dgm:constrLst>
                    <dgm:constr type="primFontSz" val="65"/>
                    <dgm:constr type="rMarg"/>
                  </dgm:constrLst>
                </dgm:else>
              </dgm:choose>
              <dgm:ruleLst>
                <dgm:rule type="primFontSz" val="5" fact="NaN" max="NaN"/>
              </dgm:ruleLst>
            </dgm:layoutNode>
          </dgm:layoutNode>
        </dgm:forEach>
      </dgm:layoutNode>
      <dgm:layoutNode name="neg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ircle" styleLbl="node1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lMarg"/>
          <dgm:constr type="rMarg"/>
          <dgm:constr type="tMarg"/>
          <dgm:constr type="bMarg"/>
          <dgm:constr type="h" refType="w"/>
        </dgm:constrLst>
        <dgm:ruleLst>
          <dgm:rule type="primFontSz" val="5" fact="NaN" max="NaN"/>
        </dgm:ruleLst>
      </dgm:layoutNode>
      <dgm:forEach name="Name17" axis="followSib" ptType="sibTrans" cnt="1">
        <dgm:layoutNode name="trans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364C8-DD44-44CA-A28A-8F8CA638A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2388</Words>
  <Characters>13618</Characters>
  <Application>Microsoft Office Word</Application>
  <DocSecurity>0</DocSecurity>
  <Lines>113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 Edison</dc:creator>
  <cp:keywords/>
  <dc:description/>
  <cp:lastModifiedBy>kinoedison03</cp:lastModifiedBy>
  <cp:revision>2</cp:revision>
  <cp:lastPrinted>2026-03-17T13:40:00Z</cp:lastPrinted>
  <dcterms:created xsi:type="dcterms:W3CDTF">2026-03-26T09:41:00Z</dcterms:created>
  <dcterms:modified xsi:type="dcterms:W3CDTF">2026-03-26T09:41:00Z</dcterms:modified>
</cp:coreProperties>
</file>